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DEE2" w14:textId="77777777" w:rsidR="00FA5E6B" w:rsidRDefault="00FA5E6B">
      <w:pPr>
        <w:spacing w:line="360" w:lineRule="auto"/>
        <w:rPr>
          <w:rFonts w:ascii="Times New Roman" w:hAnsi="Times New Roman" w:cs="Times New Roman"/>
          <w:b/>
          <w:sz w:val="24"/>
          <w:szCs w:val="24"/>
        </w:rPr>
      </w:pPr>
    </w:p>
    <w:p w14:paraId="56B13780" w14:textId="37075605" w:rsidR="00FA5E6B" w:rsidRDefault="002E56AB">
      <w:pPr>
        <w:spacing w:line="360" w:lineRule="auto"/>
        <w:rPr>
          <w:rFonts w:ascii="Times New Roman" w:hAnsi="Times New Roman" w:cs="Times New Roman"/>
          <w:sz w:val="36"/>
          <w:szCs w:val="36"/>
        </w:rPr>
      </w:pPr>
      <w:r>
        <w:rPr>
          <w:rFonts w:ascii="Times New Roman" w:hAnsi="Times New Roman" w:cs="Times New Roman"/>
          <w:b/>
          <w:sz w:val="24"/>
          <w:szCs w:val="24"/>
        </w:rPr>
        <w:t>DIGITAL LITERACY SKILLS ACQUSITION AMONG UNDERGRADUATES OF FACULTY OF AGRICULTURE IN</w:t>
      </w:r>
      <w:r>
        <w:rPr>
          <w:rFonts w:ascii="Times New Roman" w:hAnsi="Times New Roman" w:cs="Times New Roman"/>
          <w:sz w:val="36"/>
          <w:szCs w:val="36"/>
        </w:rPr>
        <w:t xml:space="preserve"> </w:t>
      </w:r>
      <w:r>
        <w:rPr>
          <w:rFonts w:ascii="Times New Roman" w:hAnsi="Times New Roman" w:cs="Times New Roman"/>
          <w:b/>
          <w:sz w:val="24"/>
          <w:szCs w:val="24"/>
        </w:rPr>
        <w:t>DENNIS OSADEBAY UNIVERSITY, ASABA.</w:t>
      </w:r>
    </w:p>
    <w:p w14:paraId="67AB1A91" w14:textId="77777777" w:rsidR="00FA5E6B" w:rsidRDefault="00FA5E6B">
      <w:pPr>
        <w:spacing w:line="360" w:lineRule="auto"/>
        <w:jc w:val="center"/>
        <w:rPr>
          <w:rFonts w:ascii="Times New Roman" w:eastAsia="Times New Roman" w:hAnsi="Times New Roman" w:cs="Times New Roman"/>
          <w:b/>
          <w:sz w:val="24"/>
        </w:rPr>
      </w:pPr>
    </w:p>
    <w:p w14:paraId="2A270A30"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Ogochukwu Lorine, ABERE (M.Sc)</w:t>
      </w:r>
    </w:p>
    <w:p w14:paraId="36BEA14A"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Assistant Lecturer (Department of Library and Information Science)</w:t>
      </w:r>
    </w:p>
    <w:p w14:paraId="4A3E6328"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Dennis Osadebay University, Asaba, Delta State. </w:t>
      </w:r>
    </w:p>
    <w:p w14:paraId="566ED61D" w14:textId="77777777" w:rsidR="00FA5E6B" w:rsidRDefault="004C586F" w:rsidP="002E56AB">
      <w:pPr>
        <w:spacing w:line="360" w:lineRule="auto"/>
        <w:ind w:left="1440"/>
        <w:jc w:val="both"/>
        <w:rPr>
          <w:rFonts w:ascii="Times New Roman" w:eastAsia="Times New Roman" w:hAnsi="Times New Roman" w:cs="Times New Roman"/>
          <w:b/>
          <w:sz w:val="24"/>
        </w:rPr>
      </w:pPr>
      <w:hyperlink w:history="1">
        <w:r>
          <w:rPr>
            <w:rStyle w:val="Hyperlink"/>
            <w:rFonts w:ascii="Times New Roman" w:eastAsia="Times New Roman" w:hAnsi="Times New Roman" w:cs="Times New Roman"/>
            <w:b/>
            <w:sz w:val="24"/>
          </w:rPr>
          <w:t>aberelorine@dou.edu.ng</w:t>
        </w:r>
      </w:hyperlink>
    </w:p>
    <w:p w14:paraId="7518F58B"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07036695921</w:t>
      </w:r>
    </w:p>
    <w:p w14:paraId="5990BB9F" w14:textId="77777777" w:rsidR="00FA5E6B" w:rsidRDefault="00FA5E6B">
      <w:pPr>
        <w:spacing w:line="360" w:lineRule="auto"/>
        <w:jc w:val="both"/>
        <w:rPr>
          <w:rFonts w:ascii="Times New Roman" w:eastAsia="Times New Roman" w:hAnsi="Times New Roman" w:cs="Times New Roman"/>
          <w:b/>
          <w:sz w:val="24"/>
        </w:rPr>
      </w:pPr>
    </w:p>
    <w:p w14:paraId="207AB2C8"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Onome Nora, EKOKO (Ph.D)</w:t>
      </w:r>
    </w:p>
    <w:p w14:paraId="1E296B57"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Associate Professor (Department of Library and Information Science)</w:t>
      </w:r>
    </w:p>
    <w:p w14:paraId="3607A36D" w14:textId="77777777" w:rsidR="00FA5E6B" w:rsidRDefault="004C586F" w:rsidP="002E56AB">
      <w:pPr>
        <w:spacing w:line="360" w:lineRule="auto"/>
        <w:ind w:left="1440"/>
        <w:jc w:val="both"/>
        <w:rPr>
          <w:rFonts w:ascii="Times New Roman" w:eastAsia="Times New Roman" w:hAnsi="Times New Roman" w:cs="Times New Roman"/>
          <w:b/>
          <w:sz w:val="24"/>
        </w:rPr>
      </w:pPr>
      <w:r>
        <w:rPr>
          <w:rFonts w:ascii="Times New Roman" w:eastAsia="Times New Roman" w:hAnsi="Times New Roman" w:cs="Times New Roman"/>
          <w:b/>
          <w:sz w:val="24"/>
        </w:rPr>
        <w:t>Delta State University Abraka, Delta State.</w:t>
      </w:r>
    </w:p>
    <w:p w14:paraId="5E1556A0" w14:textId="77777777" w:rsidR="00FA5E6B" w:rsidRDefault="004C586F" w:rsidP="002E56AB">
      <w:pPr>
        <w:spacing w:line="360" w:lineRule="auto"/>
        <w:ind w:left="1440"/>
        <w:jc w:val="both"/>
        <w:rPr>
          <w:rFonts w:ascii="Times New Roman" w:eastAsia="Times New Roman" w:hAnsi="Times New Roman" w:cs="Times New Roman"/>
          <w:sz w:val="24"/>
        </w:rPr>
      </w:pPr>
      <w:hyperlink w:history="1">
        <w:r>
          <w:rPr>
            <w:rStyle w:val="Hyperlink"/>
            <w:rFonts w:ascii="Times New Roman" w:eastAsia="Times New Roman" w:hAnsi="Times New Roman" w:cs="Times New Roman"/>
            <w:sz w:val="24"/>
          </w:rPr>
          <w:t>onomealakpodia@gmail.com</w:t>
        </w:r>
      </w:hyperlink>
    </w:p>
    <w:p w14:paraId="73A923A5" w14:textId="77777777" w:rsidR="00FA5E6B" w:rsidRPr="004C586F" w:rsidRDefault="004C586F" w:rsidP="002E56AB">
      <w:pPr>
        <w:spacing w:line="360" w:lineRule="auto"/>
        <w:ind w:left="1440"/>
        <w:jc w:val="both"/>
        <w:rPr>
          <w:rFonts w:ascii="Times New Roman" w:eastAsia="Times New Roman" w:hAnsi="Times New Roman" w:cs="Times New Roman"/>
          <w:b/>
          <w:sz w:val="24"/>
        </w:rPr>
      </w:pPr>
      <w:r w:rsidRPr="004C586F">
        <w:rPr>
          <w:rFonts w:ascii="Times New Roman" w:eastAsia="Times New Roman" w:hAnsi="Times New Roman" w:cs="Times New Roman"/>
          <w:b/>
          <w:sz w:val="24"/>
        </w:rPr>
        <w:t>08037437266</w:t>
      </w:r>
    </w:p>
    <w:p w14:paraId="3AC963E2" w14:textId="77777777" w:rsidR="00FA5E6B" w:rsidRDefault="00FA5E6B">
      <w:pPr>
        <w:spacing w:line="360" w:lineRule="auto"/>
        <w:jc w:val="center"/>
        <w:rPr>
          <w:rFonts w:ascii="Times New Roman" w:eastAsia="Times New Roman" w:hAnsi="Times New Roman" w:cs="Times New Roman"/>
          <w:b/>
          <w:sz w:val="24"/>
        </w:rPr>
      </w:pPr>
    </w:p>
    <w:p w14:paraId="5B09A127" w14:textId="77777777" w:rsidR="00FA5E6B" w:rsidRDefault="004C586F">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Abstract</w:t>
      </w:r>
    </w:p>
    <w:p w14:paraId="1B783D05" w14:textId="77777777" w:rsidR="00FA5E6B" w:rsidRPr="006F6B0C" w:rsidRDefault="00FA5E6B">
      <w:pPr>
        <w:spacing w:line="360" w:lineRule="auto"/>
        <w:rPr>
          <w:rFonts w:ascii="Times New Roman" w:eastAsia="Times New Roman" w:hAnsi="Times New Roman" w:cs="Times New Roman"/>
          <w:sz w:val="24"/>
          <w:szCs w:val="24"/>
        </w:rPr>
      </w:pPr>
    </w:p>
    <w:p w14:paraId="6EC9B936" w14:textId="77777777" w:rsidR="00FA5E6B" w:rsidRPr="006F6B0C" w:rsidRDefault="00D74B9C">
      <w:pPr>
        <w:spacing w:line="360" w:lineRule="auto"/>
        <w:rPr>
          <w:rFonts w:ascii="Times New Roman" w:hAnsi="Times New Roman" w:cs="Times New Roman"/>
          <w:sz w:val="24"/>
          <w:szCs w:val="24"/>
        </w:rPr>
      </w:pPr>
      <w:r w:rsidRPr="006F6B0C">
        <w:rPr>
          <w:rFonts w:ascii="Times New Roman" w:eastAsia="Times New Roman" w:hAnsi="Times New Roman" w:cs="Times New Roman"/>
          <w:sz w:val="24"/>
          <w:szCs w:val="24"/>
        </w:rPr>
        <w:t>This study analyzed ‘</w:t>
      </w:r>
      <w:r w:rsidR="004C586F" w:rsidRPr="006F6B0C">
        <w:rPr>
          <w:rFonts w:ascii="Times New Roman" w:hAnsi="Times New Roman" w:cs="Times New Roman"/>
          <w:sz w:val="24"/>
          <w:szCs w:val="24"/>
        </w:rPr>
        <w:t xml:space="preserve">Digital Literacy Skills </w:t>
      </w:r>
      <w:proofErr w:type="spellStart"/>
      <w:r w:rsidR="004C586F" w:rsidRPr="006F6B0C">
        <w:rPr>
          <w:rFonts w:ascii="Times New Roman" w:hAnsi="Times New Roman" w:cs="Times New Roman"/>
          <w:sz w:val="24"/>
          <w:szCs w:val="24"/>
        </w:rPr>
        <w:t>Acqusition</w:t>
      </w:r>
      <w:proofErr w:type="spellEnd"/>
      <w:r w:rsidR="004C586F" w:rsidRPr="006F6B0C">
        <w:rPr>
          <w:rFonts w:ascii="Times New Roman" w:hAnsi="Times New Roman" w:cs="Times New Roman"/>
          <w:sz w:val="24"/>
          <w:szCs w:val="24"/>
        </w:rPr>
        <w:t xml:space="preserve"> Among Undergraduates of Faculty of Agriculture in Dennis </w:t>
      </w:r>
      <w:proofErr w:type="spellStart"/>
      <w:r w:rsidR="004C586F" w:rsidRPr="006F6B0C">
        <w:rPr>
          <w:rFonts w:ascii="Times New Roman" w:hAnsi="Times New Roman" w:cs="Times New Roman"/>
          <w:sz w:val="24"/>
          <w:szCs w:val="24"/>
        </w:rPr>
        <w:t>Osadebay</w:t>
      </w:r>
      <w:proofErr w:type="spellEnd"/>
      <w:r w:rsidR="004C586F" w:rsidRPr="006F6B0C">
        <w:rPr>
          <w:rFonts w:ascii="Times New Roman" w:hAnsi="Times New Roman" w:cs="Times New Roman"/>
          <w:sz w:val="24"/>
          <w:szCs w:val="24"/>
        </w:rPr>
        <w:t xml:space="preserve"> University, Asaba</w:t>
      </w:r>
      <w:r w:rsidRPr="006F6B0C">
        <w:rPr>
          <w:rFonts w:ascii="Times New Roman" w:hAnsi="Times New Roman" w:cs="Times New Roman"/>
          <w:sz w:val="24"/>
          <w:szCs w:val="24"/>
        </w:rPr>
        <w:t>’</w:t>
      </w:r>
      <w:r w:rsidR="004C586F" w:rsidRPr="006F6B0C">
        <w:rPr>
          <w:rFonts w:ascii="Times New Roman" w:eastAsia="Times New Roman" w:hAnsi="Times New Roman" w:cs="Times New Roman"/>
          <w:sz w:val="24"/>
          <w:szCs w:val="24"/>
        </w:rPr>
        <w:t xml:space="preserve">. </w:t>
      </w:r>
      <w:r w:rsidRPr="006F6B0C">
        <w:rPr>
          <w:rFonts w:ascii="Times New Roman" w:eastAsia="Times New Roman" w:hAnsi="Times New Roman" w:cs="Times New Roman"/>
          <w:sz w:val="24"/>
          <w:szCs w:val="24"/>
        </w:rPr>
        <w:t xml:space="preserve">The study population consists of 51 students in 300 level, Faculty of Agriculture, Dennis </w:t>
      </w:r>
      <w:proofErr w:type="spellStart"/>
      <w:r w:rsidRPr="006F6B0C">
        <w:rPr>
          <w:rFonts w:ascii="Times New Roman" w:eastAsia="Times New Roman" w:hAnsi="Times New Roman" w:cs="Times New Roman"/>
          <w:sz w:val="24"/>
          <w:szCs w:val="24"/>
        </w:rPr>
        <w:t>Osadebay</w:t>
      </w:r>
      <w:proofErr w:type="spellEnd"/>
      <w:r w:rsidRPr="006F6B0C">
        <w:rPr>
          <w:rFonts w:ascii="Times New Roman" w:eastAsia="Times New Roman" w:hAnsi="Times New Roman" w:cs="Times New Roman"/>
          <w:sz w:val="24"/>
          <w:szCs w:val="24"/>
        </w:rPr>
        <w:t xml:space="preserve"> University. The 300level student picked for the population, was as a result of evaluating the digital literacy skill of Agriculture </w:t>
      </w:r>
      <w:proofErr w:type="spellStart"/>
      <w:r w:rsidRPr="006F6B0C">
        <w:rPr>
          <w:rFonts w:ascii="Times New Roman" w:eastAsia="Times New Roman" w:hAnsi="Times New Roman" w:cs="Times New Roman"/>
          <w:sz w:val="24"/>
          <w:szCs w:val="24"/>
        </w:rPr>
        <w:t>students</w:t>
      </w:r>
      <w:r w:rsidR="004C586F" w:rsidRPr="006F6B0C">
        <w:rPr>
          <w:rFonts w:ascii="Times New Roman" w:eastAsia="Times New Roman" w:hAnsi="Times New Roman" w:cs="Times New Roman"/>
          <w:sz w:val="24"/>
          <w:szCs w:val="24"/>
        </w:rPr>
        <w:t>Data</w:t>
      </w:r>
      <w:proofErr w:type="spellEnd"/>
      <w:r w:rsidR="004C586F" w:rsidRPr="006F6B0C">
        <w:rPr>
          <w:rFonts w:ascii="Times New Roman" w:eastAsia="Times New Roman" w:hAnsi="Times New Roman" w:cs="Times New Roman"/>
          <w:sz w:val="24"/>
          <w:szCs w:val="24"/>
        </w:rPr>
        <w:t xml:space="preserve"> was collected using a de</w:t>
      </w:r>
      <w:r w:rsidR="00FA50CE" w:rsidRPr="006F6B0C">
        <w:rPr>
          <w:rFonts w:ascii="Times New Roman" w:eastAsia="Times New Roman" w:hAnsi="Times New Roman" w:cs="Times New Roman"/>
          <w:sz w:val="24"/>
          <w:szCs w:val="24"/>
        </w:rPr>
        <w:t>scriptive research approach</w:t>
      </w:r>
      <w:r w:rsidR="00F32DFA" w:rsidRPr="006F6B0C">
        <w:rPr>
          <w:rFonts w:ascii="Times New Roman" w:eastAsia="Times New Roman" w:hAnsi="Times New Roman" w:cs="Times New Roman"/>
          <w:sz w:val="24"/>
          <w:szCs w:val="24"/>
        </w:rPr>
        <w:t>.</w:t>
      </w:r>
      <w:r w:rsidR="00FA50CE" w:rsidRPr="006F6B0C">
        <w:rPr>
          <w:rFonts w:ascii="Times New Roman" w:eastAsia="Times New Roman" w:hAnsi="Times New Roman" w:cs="Times New Roman"/>
          <w:sz w:val="24"/>
          <w:szCs w:val="24"/>
        </w:rPr>
        <w:t xml:space="preserve"> A purposive sample technique was employed. Questionnaire was the instrument used for data collection</w:t>
      </w:r>
      <w:r w:rsidR="004C586F" w:rsidRPr="006F6B0C">
        <w:rPr>
          <w:rFonts w:ascii="Times New Roman" w:eastAsia="Times New Roman" w:hAnsi="Times New Roman" w:cs="Times New Roman"/>
          <w:sz w:val="24"/>
          <w:szCs w:val="24"/>
        </w:rPr>
        <w:t xml:space="preserve">. The findings showed modest digital literacy among students, highlighting weaknesses in online resource critical assessment. Digital literacy was hindered by limited resources, information literacy skills, training, infrastructure, and finances. There were no significant differences in digital literacy skills acquisition and undergraduates at Dennis Osadebay University. The research shows that institutional factors strongly influence pupils' digital literacy. Recommendations include incorporating digital literacy into the curriculum, increasing access to digital resources and infrastructure, providing specialized training and support, reducing economic barriers, raising </w:t>
      </w:r>
      <w:r w:rsidR="004C586F" w:rsidRPr="006F6B0C">
        <w:rPr>
          <w:rFonts w:ascii="Times New Roman" w:eastAsia="Times New Roman" w:hAnsi="Times New Roman" w:cs="Times New Roman"/>
          <w:sz w:val="24"/>
          <w:szCs w:val="24"/>
        </w:rPr>
        <w:lastRenderedPageBreak/>
        <w:t>awareness of digital literacy, facilitating inter-departmental collaboration, and evaluating digital literacy initiatives regularly. These proposals aim to make education more digitally inclusive and increase agriculture undergraduates' digital skills</w:t>
      </w:r>
      <w:r w:rsidR="007D3AE6" w:rsidRPr="006F6B0C">
        <w:rPr>
          <w:rFonts w:ascii="Times New Roman" w:eastAsia="Times New Roman" w:hAnsi="Times New Roman" w:cs="Times New Roman"/>
          <w:color w:val="FF0000"/>
          <w:sz w:val="24"/>
          <w:szCs w:val="24"/>
        </w:rPr>
        <w:t>.</w:t>
      </w:r>
    </w:p>
    <w:p w14:paraId="4BD348FF" w14:textId="77777777" w:rsidR="00FA5E6B" w:rsidRPr="006F6B0C" w:rsidRDefault="004C586F">
      <w:pPr>
        <w:spacing w:line="360" w:lineRule="auto"/>
        <w:rPr>
          <w:rFonts w:ascii="Times New Roman" w:eastAsia="Times New Roman" w:hAnsi="Times New Roman" w:cs="Times New Roman"/>
          <w:b/>
          <w:sz w:val="24"/>
          <w:szCs w:val="24"/>
        </w:rPr>
      </w:pPr>
      <w:r w:rsidRPr="006F6B0C">
        <w:rPr>
          <w:rFonts w:ascii="Times New Roman" w:eastAsia="Times New Roman" w:hAnsi="Times New Roman" w:cs="Times New Roman"/>
          <w:b/>
          <w:sz w:val="24"/>
          <w:szCs w:val="24"/>
        </w:rPr>
        <w:t xml:space="preserve">Keywords: </w:t>
      </w:r>
      <w:r w:rsidRPr="006F6B0C">
        <w:rPr>
          <w:rFonts w:ascii="Times New Roman" w:eastAsia="Times New Roman" w:hAnsi="Times New Roman" w:cs="Times New Roman"/>
          <w:sz w:val="24"/>
          <w:szCs w:val="24"/>
        </w:rPr>
        <w:t xml:space="preserve">Dennis </w:t>
      </w:r>
      <w:proofErr w:type="spellStart"/>
      <w:r w:rsidRPr="006F6B0C">
        <w:rPr>
          <w:rFonts w:ascii="Times New Roman" w:eastAsia="Times New Roman" w:hAnsi="Times New Roman" w:cs="Times New Roman"/>
          <w:sz w:val="24"/>
          <w:szCs w:val="24"/>
        </w:rPr>
        <w:t>Osadebay</w:t>
      </w:r>
      <w:proofErr w:type="spellEnd"/>
      <w:r w:rsidRPr="006F6B0C">
        <w:rPr>
          <w:rFonts w:ascii="Times New Roman" w:eastAsia="Times New Roman" w:hAnsi="Times New Roman" w:cs="Times New Roman"/>
          <w:sz w:val="24"/>
          <w:szCs w:val="24"/>
        </w:rPr>
        <w:t xml:space="preserve"> University,</w:t>
      </w:r>
      <w:r w:rsidR="005379CD" w:rsidRPr="006F6B0C">
        <w:rPr>
          <w:rFonts w:ascii="Times New Roman" w:eastAsia="Times New Roman" w:hAnsi="Times New Roman" w:cs="Times New Roman"/>
          <w:sz w:val="24"/>
          <w:szCs w:val="24"/>
        </w:rPr>
        <w:t xml:space="preserve"> Digital Literacy Skills, Under</w:t>
      </w:r>
      <w:r w:rsidR="006411F2" w:rsidRPr="006F6B0C">
        <w:rPr>
          <w:rFonts w:ascii="Times New Roman" w:eastAsia="Times New Roman" w:hAnsi="Times New Roman" w:cs="Times New Roman"/>
          <w:sz w:val="24"/>
          <w:szCs w:val="24"/>
        </w:rPr>
        <w:t>graduates, Acquisition.</w:t>
      </w:r>
    </w:p>
    <w:p w14:paraId="03A44C8F" w14:textId="77777777" w:rsidR="00FA5E6B" w:rsidRPr="006F6B0C" w:rsidRDefault="004C586F">
      <w:pPr>
        <w:spacing w:before="100" w:beforeAutospacing="1" w:after="100" w:afterAutospacing="1" w:line="360" w:lineRule="auto"/>
        <w:rPr>
          <w:rFonts w:ascii="Times New Roman" w:eastAsia="Times New Roman" w:hAnsi="Times New Roman" w:cs="Times New Roman"/>
          <w:b/>
          <w:bCs/>
          <w:sz w:val="24"/>
          <w:szCs w:val="24"/>
        </w:rPr>
      </w:pPr>
      <w:r w:rsidRPr="006F6B0C">
        <w:rPr>
          <w:rFonts w:ascii="Times New Roman" w:eastAsia="Times New Roman" w:hAnsi="Times New Roman" w:cs="Times New Roman"/>
          <w:b/>
          <w:bCs/>
          <w:sz w:val="24"/>
          <w:szCs w:val="24"/>
        </w:rPr>
        <w:t>Introduction</w:t>
      </w:r>
    </w:p>
    <w:p w14:paraId="5119CF55"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21st century necessitates digital literacy in nearly every facet of life. In today's networked culture, affluence is essential. Onebunne (2022) found 21st-century ICT had advanced tremendously. We need education sector reforms to create a 21st-century learning environment for digital education. Over time, computer and internet technology have transformed all human activity. These technologies in education are making human connections more dependent on them. Encourage instructors to use technology, apply the curriculum, and use 21st-century pedagogy to meet digital natives' educational needs. Agriculture technology is growing, with new ideas from around the world. Some technologies have bilingual technical documentation. Farmer and professional acceptance of new agricultural equipment and practises is easier with these languages (</w:t>
      </w:r>
      <w:proofErr w:type="spellStart"/>
      <w:r w:rsidRPr="006F6B0C">
        <w:rPr>
          <w:rFonts w:ascii="Times New Roman" w:eastAsia="Times New Roman" w:hAnsi="Times New Roman" w:cs="Times New Roman"/>
          <w:sz w:val="24"/>
          <w:szCs w:val="24"/>
        </w:rPr>
        <w:t>Milancovic</w:t>
      </w:r>
      <w:proofErr w:type="spellEnd"/>
      <w:r w:rsidRPr="006F6B0C">
        <w:rPr>
          <w:rFonts w:ascii="Times New Roman" w:eastAsia="Times New Roman" w:hAnsi="Times New Roman" w:cs="Times New Roman"/>
          <w:sz w:val="24"/>
          <w:szCs w:val="24"/>
        </w:rPr>
        <w:t>,</w:t>
      </w:r>
      <w:r w:rsidR="005379CD" w:rsidRPr="006F6B0C">
        <w:rPr>
          <w:rFonts w:ascii="Times New Roman" w:eastAsia="Times New Roman" w:hAnsi="Times New Roman" w:cs="Times New Roman"/>
          <w:sz w:val="24"/>
          <w:szCs w:val="24"/>
        </w:rPr>
        <w:t xml:space="preserve"> et al,</w:t>
      </w:r>
      <w:r w:rsidRPr="006F6B0C">
        <w:rPr>
          <w:rFonts w:ascii="Times New Roman" w:eastAsia="Times New Roman" w:hAnsi="Times New Roman" w:cs="Times New Roman"/>
          <w:sz w:val="24"/>
          <w:szCs w:val="24"/>
        </w:rPr>
        <w:t xml:space="preserve"> 2023).  Technology permeates our lives and world. It involves how we solve problems and achieve goals.</w:t>
      </w:r>
      <w:r w:rsidRPr="006F6B0C">
        <w:rPr>
          <w:rFonts w:ascii="Times New Roman" w:eastAsia="Times New Roman" w:hAnsi="Times New Roman" w:cs="Times New Roman"/>
          <w:sz w:val="24"/>
          <w:szCs w:val="24"/>
        </w:rPr>
        <w:br/>
      </w:r>
    </w:p>
    <w:p w14:paraId="6633D15C"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Rohtash Kumar et al. (2023) stressed agriculture's principal goal of feeding a growing popula</w:t>
      </w:r>
      <w:r w:rsidR="005379CD" w:rsidRPr="006F6B0C">
        <w:rPr>
          <w:rFonts w:ascii="Times New Roman" w:eastAsia="Times New Roman" w:hAnsi="Times New Roman" w:cs="Times New Roman"/>
          <w:sz w:val="24"/>
          <w:szCs w:val="24"/>
        </w:rPr>
        <w:t>tion. Rising food demand</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 xml:space="preserve">increased agricultural productivity. Agriculture involves crop production, water management, fertilizer application, pest control, harvesting, food transfer, safety, quality, and marketing. FAO's E-Agriculture ICT Applications help achieve this. In specifically, E-Agriculture encompasses the conception, design, development, appraisal, and implementation of new ICT for rural agriculture. Hardware, software, networks, mobile devices, services, and applications are all ICT. Many ICT solutions exist for agricultural challenges. It boosts rural and agricultural development through technology and communication. Classic assistance like landlines, satellites, TVs, and radios complement internet-era technologies and sensors. New ICT applications boost e-scope agriculture. Standard, norm, practice, technology, individual and institutional ability, and government support are needed for e-agriculture. </w:t>
      </w:r>
      <w:r w:rsidRPr="006F6B0C">
        <w:rPr>
          <w:rFonts w:ascii="Times New Roman" w:eastAsia="Times New Roman" w:hAnsi="Times New Roman" w:cs="Times New Roman"/>
          <w:sz w:val="24"/>
          <w:szCs w:val="24"/>
        </w:rPr>
        <w:br/>
      </w:r>
    </w:p>
    <w:p w14:paraId="6CF39C52"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lastRenderedPageBreak/>
        <w:t xml:space="preserve">Nigeria's FMARD </w:t>
      </w:r>
      <w:r w:rsidR="00C95C4C" w:rsidRPr="006F6B0C">
        <w:rPr>
          <w:rFonts w:ascii="Times New Roman" w:eastAsia="Times New Roman" w:hAnsi="Times New Roman" w:cs="Times New Roman"/>
          <w:sz w:val="24"/>
          <w:szCs w:val="24"/>
        </w:rPr>
        <w:t>(Federal Ministry of Agriculture and Rural Development</w:t>
      </w:r>
      <w:r w:rsidRPr="006F6B0C">
        <w:rPr>
          <w:rFonts w:ascii="Times New Roman" w:eastAsia="Times New Roman" w:hAnsi="Times New Roman" w:cs="Times New Roman"/>
          <w:sz w:val="24"/>
          <w:szCs w:val="24"/>
        </w:rPr>
        <w:t>)</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 xml:space="preserve">designed the National Agricultural Technology and Innovation Policy to adapt to global food systems and supply networks. After Federal Executive Council approval on Wednesday, 18 May 2022, NATIP was launched on Thursday, 29 September 2025, and would work under various MDA </w:t>
      </w:r>
      <w:r w:rsidR="002C4BD2" w:rsidRPr="006F6B0C">
        <w:rPr>
          <w:rFonts w:ascii="Times New Roman" w:eastAsia="Times New Roman" w:hAnsi="Times New Roman" w:cs="Times New Roman"/>
          <w:sz w:val="24"/>
          <w:szCs w:val="24"/>
        </w:rPr>
        <w:t>(Minist</w:t>
      </w:r>
      <w:r w:rsidR="00D237FC" w:rsidRPr="006F6B0C">
        <w:rPr>
          <w:rFonts w:ascii="Times New Roman" w:eastAsia="Times New Roman" w:hAnsi="Times New Roman" w:cs="Times New Roman"/>
          <w:sz w:val="24"/>
          <w:szCs w:val="24"/>
        </w:rPr>
        <w:t>ries, Departments, and Agencies</w:t>
      </w:r>
      <w:r w:rsidRPr="006F6B0C">
        <w:rPr>
          <w:rFonts w:ascii="Times New Roman" w:eastAsia="Times New Roman" w:hAnsi="Times New Roman" w:cs="Times New Roman"/>
          <w:sz w:val="24"/>
          <w:szCs w:val="24"/>
        </w:rPr>
        <w:t xml:space="preserve">) policies and strategies from 2022-2027 to ensure synergy and cooperation. FMARD </w:t>
      </w:r>
      <w:r w:rsidR="005934C2" w:rsidRPr="006F6B0C">
        <w:rPr>
          <w:rFonts w:ascii="Times New Roman" w:eastAsia="Times New Roman" w:hAnsi="Times New Roman" w:cs="Times New Roman"/>
          <w:sz w:val="24"/>
          <w:szCs w:val="24"/>
        </w:rPr>
        <w:t xml:space="preserve">(Federal Ministry of Agriculture and Rural Development) </w:t>
      </w:r>
      <w:r w:rsidRPr="006F6B0C">
        <w:rPr>
          <w:rFonts w:ascii="Times New Roman" w:eastAsia="Times New Roman" w:hAnsi="Times New Roman" w:cs="Times New Roman"/>
          <w:sz w:val="24"/>
          <w:szCs w:val="24"/>
        </w:rPr>
        <w:t>developed NATIP</w:t>
      </w:r>
      <w:r w:rsidR="005934C2" w:rsidRPr="006F6B0C">
        <w:rPr>
          <w:rFonts w:ascii="Times New Roman" w:eastAsia="Times New Roman" w:hAnsi="Times New Roman" w:cs="Times New Roman"/>
          <w:sz w:val="24"/>
          <w:szCs w:val="24"/>
        </w:rPr>
        <w:t xml:space="preserve"> (National Agriculture Technology and Innovation Policy)</w:t>
      </w:r>
      <w:r w:rsidRPr="006F6B0C">
        <w:rPr>
          <w:rFonts w:ascii="Times New Roman" w:eastAsia="Times New Roman" w:hAnsi="Times New Roman" w:cs="Times New Roman"/>
          <w:sz w:val="24"/>
          <w:szCs w:val="24"/>
        </w:rPr>
        <w:t xml:space="preserve"> alongside</w:t>
      </w:r>
      <w:r w:rsidR="005934C2" w:rsidRPr="006F6B0C">
        <w:rPr>
          <w:rFonts w:ascii="Times New Roman" w:eastAsia="Times New Roman" w:hAnsi="Times New Roman" w:cs="Times New Roman"/>
          <w:sz w:val="24"/>
          <w:szCs w:val="24"/>
        </w:rPr>
        <w:t xml:space="preserve"> NAASF (</w:t>
      </w:r>
      <w:r w:rsidRPr="006F6B0C">
        <w:rPr>
          <w:rFonts w:ascii="Times New Roman" w:eastAsia="Times New Roman" w:hAnsi="Times New Roman" w:cs="Times New Roman"/>
          <w:sz w:val="24"/>
          <w:szCs w:val="24"/>
        </w:rPr>
        <w:t>Nigerian agriculture and allied services firms</w:t>
      </w:r>
      <w:r w:rsidR="005934C2" w:rsidRPr="006F6B0C">
        <w:rPr>
          <w:rFonts w:ascii="Times New Roman" w:eastAsia="Times New Roman" w:hAnsi="Times New Roman" w:cs="Times New Roman"/>
          <w:sz w:val="24"/>
          <w:szCs w:val="24"/>
        </w:rPr>
        <w:t>)</w:t>
      </w:r>
      <w:r w:rsidRPr="006F6B0C">
        <w:rPr>
          <w:rFonts w:ascii="Times New Roman" w:eastAsia="Times New Roman" w:hAnsi="Times New Roman" w:cs="Times New Roman"/>
          <w:sz w:val="24"/>
          <w:szCs w:val="24"/>
        </w:rPr>
        <w:t xml:space="preserve">. Investments in agricultural and rural development by the government and private sector aim to improve the economy and society. Women, kids, and special needs populations benefit from agricultural technology and innovation. NATIP works with sub-nationals and USAID </w:t>
      </w:r>
      <w:r w:rsidR="005934C2" w:rsidRPr="006F6B0C">
        <w:rPr>
          <w:rFonts w:ascii="Times New Roman" w:eastAsia="Times New Roman" w:hAnsi="Times New Roman" w:cs="Times New Roman"/>
          <w:sz w:val="24"/>
          <w:szCs w:val="24"/>
        </w:rPr>
        <w:t>(United States Agency for International Development</w:t>
      </w:r>
      <w:r w:rsidRPr="006F6B0C">
        <w:rPr>
          <w:rFonts w:ascii="Times New Roman" w:eastAsia="Times New Roman" w:hAnsi="Times New Roman" w:cs="Times New Roman"/>
          <w:sz w:val="24"/>
          <w:szCs w:val="24"/>
        </w:rPr>
        <w:t>)</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 xml:space="preserve">in Nigeria and other development partners to develop and distribute farmer-friendly technology and innovations (Federal Ministry of Agriculture and Rural Development, 2022). </w:t>
      </w:r>
      <w:r w:rsidRPr="006F6B0C">
        <w:rPr>
          <w:rFonts w:ascii="Times New Roman" w:eastAsia="Times New Roman" w:hAnsi="Times New Roman" w:cs="Times New Roman"/>
          <w:sz w:val="24"/>
          <w:szCs w:val="24"/>
        </w:rPr>
        <w:br/>
      </w:r>
    </w:p>
    <w:p w14:paraId="58C0F730"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Dennis Osadebay University (DOU) Asaba was approved by the NUC</w:t>
      </w:r>
      <w:r w:rsidR="00C80A27" w:rsidRPr="006F6B0C">
        <w:rPr>
          <w:rFonts w:ascii="Times New Roman" w:eastAsia="Times New Roman" w:hAnsi="Times New Roman" w:cs="Times New Roman"/>
          <w:sz w:val="24"/>
          <w:szCs w:val="24"/>
        </w:rPr>
        <w:t xml:space="preserve"> (Nigeria</w:t>
      </w:r>
      <w:r w:rsidRPr="006F6B0C">
        <w:rPr>
          <w:rFonts w:ascii="Times New Roman" w:eastAsia="Times New Roman" w:hAnsi="Times New Roman" w:cs="Times New Roman"/>
          <w:sz w:val="24"/>
          <w:szCs w:val="24"/>
        </w:rPr>
        <w:t xml:space="preserve"> </w:t>
      </w:r>
      <w:r w:rsidR="00C80A27" w:rsidRPr="006F6B0C">
        <w:rPr>
          <w:rFonts w:ascii="Times New Roman" w:eastAsia="Times New Roman" w:hAnsi="Times New Roman" w:cs="Times New Roman"/>
          <w:sz w:val="24"/>
          <w:szCs w:val="24"/>
        </w:rPr>
        <w:t xml:space="preserve">University Commission) </w:t>
      </w:r>
      <w:r w:rsidRPr="006F6B0C">
        <w:rPr>
          <w:rFonts w:ascii="Times New Roman" w:eastAsia="Times New Roman" w:hAnsi="Times New Roman" w:cs="Times New Roman"/>
          <w:sz w:val="24"/>
          <w:szCs w:val="24"/>
        </w:rPr>
        <w:t>in 2021 as one of three Delta State institutions. Early University faculties included agriculture. Leading transformation university empowers stakeholders with technology. The University's purpose informs the Faculty of Agriculture's mission to prepare graduates for agriculture technology's constant change. Students learn to solve problems using various application software, enter and update data, and evaluate data using several software packages in well-programmed courses (Faculty of Agriculture Handbook, Dennis Osadebay University, Asaba, Delta State, 2023).</w:t>
      </w:r>
    </w:p>
    <w:p w14:paraId="7DD7E0F3" w14:textId="77777777" w:rsidR="00FA5E6B" w:rsidRPr="006F6B0C" w:rsidRDefault="004C586F">
      <w:pPr>
        <w:spacing w:before="100" w:beforeAutospacing="1" w:after="100" w:afterAutospacing="1" w:line="360" w:lineRule="auto"/>
        <w:rPr>
          <w:rFonts w:ascii="Times New Roman" w:eastAsia="Times New Roman" w:hAnsi="Times New Roman" w:cs="Times New Roman"/>
          <w:b/>
          <w:bCs/>
          <w:sz w:val="24"/>
          <w:szCs w:val="24"/>
        </w:rPr>
      </w:pPr>
      <w:r w:rsidRPr="006F6B0C">
        <w:rPr>
          <w:rFonts w:ascii="Times New Roman" w:eastAsia="Times New Roman" w:hAnsi="Times New Roman" w:cs="Times New Roman"/>
          <w:b/>
          <w:bCs/>
          <w:sz w:val="24"/>
          <w:szCs w:val="24"/>
        </w:rPr>
        <w:t>Statement of the Problem</w:t>
      </w:r>
    </w:p>
    <w:p w14:paraId="5DDDB56C" w14:textId="77777777" w:rsidR="00FA5E6B" w:rsidRPr="006F6B0C" w:rsidRDefault="004C586F">
      <w:pPr>
        <w:spacing w:line="360" w:lineRule="auto"/>
        <w:ind w:firstLine="720"/>
        <w:rPr>
          <w:rFonts w:ascii="Times New Roman" w:hAnsi="Times New Roman" w:cs="Times New Roman"/>
          <w:sz w:val="24"/>
          <w:szCs w:val="24"/>
        </w:rPr>
      </w:pPr>
      <w:r w:rsidRPr="006F6B0C">
        <w:rPr>
          <w:rFonts w:ascii="Times New Roman" w:eastAsia="Times New Roman" w:hAnsi="Times New Roman" w:cs="Times New Roman"/>
          <w:sz w:val="24"/>
          <w:szCs w:val="24"/>
        </w:rPr>
        <w:t xml:space="preserve">Despite the increasing importance of digital technologies in modern agriculture, a significant gap exists in the digital literacy skills of students in faculties of agriculture. This gap is exacerbated by several factors such as limited access to technology and infrastructure, </w:t>
      </w:r>
      <w:r w:rsidRPr="006F6B0C">
        <w:rPr>
          <w:rFonts w:ascii="Times New Roman" w:hAnsi="Times New Roman" w:cs="Times New Roman"/>
          <w:sz w:val="24"/>
          <w:szCs w:val="24"/>
        </w:rPr>
        <w:t xml:space="preserve">inadequate training and support, limited integration within curricula, and insufficient opportunities for practical application. </w:t>
      </w:r>
      <w:r w:rsidRPr="006F6B0C">
        <w:rPr>
          <w:rFonts w:ascii="Times New Roman" w:eastAsia="Times New Roman" w:hAnsi="Times New Roman" w:cs="Times New Roman"/>
          <w:sz w:val="24"/>
          <w:szCs w:val="24"/>
        </w:rPr>
        <w:t xml:space="preserve">This gap in digital literacy skills poses a significant challenge to the future of agriculture, as it hinders students' ability to </w:t>
      </w:r>
      <w:r w:rsidRPr="006F6B0C">
        <w:rPr>
          <w:rFonts w:ascii="Times New Roman" w:hAnsi="Times New Roman" w:cs="Times New Roman"/>
          <w:sz w:val="24"/>
          <w:szCs w:val="24"/>
        </w:rPr>
        <w:t xml:space="preserve">access and utilize valuable </w:t>
      </w:r>
      <w:r w:rsidRPr="006F6B0C">
        <w:rPr>
          <w:rFonts w:ascii="Times New Roman" w:hAnsi="Times New Roman" w:cs="Times New Roman"/>
          <w:sz w:val="24"/>
          <w:szCs w:val="24"/>
        </w:rPr>
        <w:lastRenderedPageBreak/>
        <w:t xml:space="preserve">information and resources, </w:t>
      </w:r>
      <w:r w:rsidRPr="006F6B0C">
        <w:rPr>
          <w:rFonts w:ascii="Times New Roman" w:eastAsia="Times New Roman" w:hAnsi="Times New Roman" w:cs="Times New Roman"/>
          <w:sz w:val="24"/>
          <w:szCs w:val="24"/>
        </w:rPr>
        <w:t xml:space="preserve">develop and implement innovative and sustainable agricultural practices, </w:t>
      </w:r>
      <w:r w:rsidRPr="006F6B0C">
        <w:rPr>
          <w:rFonts w:ascii="Times New Roman" w:hAnsi="Times New Roman" w:cs="Times New Roman"/>
          <w:sz w:val="24"/>
          <w:szCs w:val="24"/>
        </w:rPr>
        <w:t>effectively communicate and collaborate with other stakeholders in the agricultural sector, and adapt to the evolving technological landscape of modern agriculture</w:t>
      </w:r>
      <w:r w:rsidRPr="006F6B0C">
        <w:rPr>
          <w:rFonts w:ascii="Times New Roman" w:eastAsia="Times New Roman" w:hAnsi="Times New Roman" w:cs="Times New Roman"/>
          <w:sz w:val="24"/>
          <w:szCs w:val="24"/>
        </w:rPr>
        <w:t xml:space="preserve">. </w:t>
      </w:r>
      <w:proofErr w:type="gramStart"/>
      <w:r w:rsidRPr="006F6B0C">
        <w:rPr>
          <w:rFonts w:ascii="Times New Roman" w:eastAsia="Times New Roman" w:hAnsi="Times New Roman" w:cs="Times New Roman"/>
          <w:sz w:val="24"/>
          <w:szCs w:val="24"/>
        </w:rPr>
        <w:t>Therefore</w:t>
      </w:r>
      <w:proofErr w:type="gramEnd"/>
      <w:r w:rsidRPr="006F6B0C">
        <w:rPr>
          <w:rFonts w:ascii="Times New Roman" w:eastAsia="Times New Roman" w:hAnsi="Times New Roman" w:cs="Times New Roman"/>
          <w:sz w:val="24"/>
          <w:szCs w:val="24"/>
        </w:rPr>
        <w:t xml:space="preserve"> </w:t>
      </w:r>
      <w:r w:rsidRPr="006F6B0C">
        <w:rPr>
          <w:rFonts w:ascii="Times New Roman" w:hAnsi="Times New Roman" w:cs="Times New Roman"/>
          <w:sz w:val="24"/>
          <w:szCs w:val="24"/>
        </w:rPr>
        <w:t>this study aims to investigate the extent of this gap and develop effective solutions to equip students with the necessary digital literacy skills for successful careers in the agricultural sector.</w:t>
      </w:r>
    </w:p>
    <w:p w14:paraId="1D85E6D9" w14:textId="77777777" w:rsidR="00FA5E6B" w:rsidRPr="006F6B0C" w:rsidRDefault="004C586F">
      <w:p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b/>
          <w:bCs/>
          <w:sz w:val="24"/>
          <w:szCs w:val="24"/>
        </w:rPr>
        <w:t>Objectives of the Study</w:t>
      </w:r>
    </w:p>
    <w:p w14:paraId="34F5DAEA" w14:textId="77777777" w:rsidR="00FA5E6B" w:rsidRPr="006F6B0C" w:rsidRDefault="004C586F">
      <w:pPr>
        <w:pStyle w:val="ListParagraph"/>
        <w:spacing w:before="100" w:beforeAutospacing="1" w:after="100" w:afterAutospacing="1" w:line="360" w:lineRule="auto"/>
        <w:ind w:left="420"/>
        <w:rPr>
          <w:rFonts w:ascii="Times New Roman" w:eastAsia="Times New Roman" w:hAnsi="Times New Roman" w:cs="Times New Roman"/>
          <w:sz w:val="24"/>
          <w:szCs w:val="24"/>
        </w:rPr>
      </w:pPr>
      <w:r w:rsidRPr="006F6B0C">
        <w:rPr>
          <w:rFonts w:ascii="Times New Roman" w:eastAsia="Times New Roman" w:hAnsi="Times New Roman" w:cs="Times New Roman"/>
          <w:bCs/>
          <w:sz w:val="24"/>
          <w:szCs w:val="24"/>
        </w:rPr>
        <w:t>The objective of the study is as follows:</w:t>
      </w:r>
    </w:p>
    <w:p w14:paraId="56DC12CE" w14:textId="77777777" w:rsidR="00FA5E6B" w:rsidRPr="006F6B0C" w:rsidRDefault="004C586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 xml:space="preserve">To identify the level of digital literacy skills possessed by undergraduates in </w:t>
      </w:r>
      <w:r w:rsidRPr="006F6B0C">
        <w:rPr>
          <w:rFonts w:ascii="Times New Roman" w:hAnsi="Times New Roman" w:cs="Times New Roman"/>
          <w:bCs/>
          <w:sz w:val="24"/>
          <w:szCs w:val="24"/>
        </w:rPr>
        <w:t>Dennis Osadebay University</w:t>
      </w:r>
      <w:r w:rsidRPr="006F6B0C">
        <w:rPr>
          <w:rFonts w:ascii="Times New Roman" w:eastAsia="Times New Roman" w:hAnsi="Times New Roman" w:cs="Times New Roman"/>
          <w:sz w:val="24"/>
          <w:szCs w:val="24"/>
        </w:rPr>
        <w:t>.</w:t>
      </w:r>
    </w:p>
    <w:p w14:paraId="53CA53D5" w14:textId="77777777" w:rsidR="00FA5E6B" w:rsidRPr="006F6B0C" w:rsidRDefault="004C586F" w:rsidP="00186027">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 xml:space="preserve">To determine </w:t>
      </w:r>
      <w:r w:rsidRPr="006F6B0C">
        <w:rPr>
          <w:rFonts w:ascii="Times New Roman" w:hAnsi="Times New Roman" w:cs="Times New Roman"/>
          <w:bCs/>
          <w:sz w:val="24"/>
          <w:szCs w:val="24"/>
        </w:rPr>
        <w:t xml:space="preserve">the </w:t>
      </w:r>
      <w:r w:rsidR="00186027" w:rsidRPr="006F6B0C">
        <w:rPr>
          <w:rFonts w:ascii="Times New Roman" w:hAnsi="Times New Roman" w:cs="Times New Roman"/>
          <w:bCs/>
          <w:sz w:val="24"/>
          <w:szCs w:val="24"/>
        </w:rPr>
        <w:t xml:space="preserve">challenges undergraduate </w:t>
      </w:r>
      <w:r w:rsidRPr="006F6B0C">
        <w:rPr>
          <w:rFonts w:ascii="Times New Roman" w:hAnsi="Times New Roman" w:cs="Times New Roman"/>
          <w:bCs/>
          <w:sz w:val="24"/>
          <w:szCs w:val="24"/>
        </w:rPr>
        <w:t xml:space="preserve">in Dennis </w:t>
      </w:r>
      <w:proofErr w:type="spellStart"/>
      <w:r w:rsidRPr="006F6B0C">
        <w:rPr>
          <w:rFonts w:ascii="Times New Roman" w:hAnsi="Times New Roman" w:cs="Times New Roman"/>
          <w:bCs/>
          <w:sz w:val="24"/>
          <w:szCs w:val="24"/>
        </w:rPr>
        <w:t>Osadebay</w:t>
      </w:r>
      <w:proofErr w:type="spellEnd"/>
      <w:r w:rsidRPr="006F6B0C">
        <w:rPr>
          <w:rFonts w:ascii="Times New Roman" w:hAnsi="Times New Roman" w:cs="Times New Roman"/>
          <w:bCs/>
          <w:sz w:val="24"/>
          <w:szCs w:val="24"/>
        </w:rPr>
        <w:t xml:space="preserve"> University face in acquiring digital literacy skills.</w:t>
      </w:r>
    </w:p>
    <w:p w14:paraId="13FEFAE8" w14:textId="77777777" w:rsidR="00FA5E6B" w:rsidRPr="006F6B0C" w:rsidRDefault="004C586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hAnsi="Times New Roman" w:cs="Times New Roman"/>
          <w:bCs/>
          <w:sz w:val="24"/>
          <w:szCs w:val="24"/>
        </w:rPr>
        <w:t>To examine the strategies that can be implemented in improving digital literacy skills among undergraduates in Dennis Osadebay University.</w:t>
      </w:r>
    </w:p>
    <w:p w14:paraId="37EC58AB" w14:textId="77777777" w:rsidR="00FA5E6B" w:rsidRPr="006F6B0C" w:rsidRDefault="004C586F">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hAnsi="Times New Roman" w:cs="Times New Roman"/>
          <w:bCs/>
          <w:sz w:val="24"/>
          <w:szCs w:val="24"/>
        </w:rPr>
        <w:t xml:space="preserve">Determine the relationship between digital literacy skill acquisition and undergraduates in Dennis Osadebay University. </w:t>
      </w:r>
    </w:p>
    <w:p w14:paraId="01126F6B" w14:textId="77777777" w:rsidR="00FA5E6B" w:rsidRPr="006F6B0C" w:rsidRDefault="004C586F">
      <w:p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b/>
          <w:bCs/>
          <w:sz w:val="24"/>
          <w:szCs w:val="24"/>
        </w:rPr>
        <w:t>Research Questions</w:t>
      </w:r>
    </w:p>
    <w:p w14:paraId="3B490070" w14:textId="77777777" w:rsidR="00FA5E6B" w:rsidRPr="006F6B0C" w:rsidRDefault="004C586F">
      <w:pPr>
        <w:pStyle w:val="ListParagraph"/>
        <w:spacing w:before="100" w:beforeAutospacing="1" w:after="100" w:afterAutospacing="1" w:line="360" w:lineRule="auto"/>
        <w:ind w:left="4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following research questions were formulated to be addressed:</w:t>
      </w:r>
    </w:p>
    <w:p w14:paraId="7AA294BD" w14:textId="77777777" w:rsidR="00FA5E6B" w:rsidRPr="006F6B0C" w:rsidRDefault="004C586F">
      <w:pPr>
        <w:pStyle w:val="ListParagraph"/>
        <w:numPr>
          <w:ilvl w:val="0"/>
          <w:numId w:val="27"/>
        </w:numPr>
        <w:spacing w:after="160" w:line="360" w:lineRule="auto"/>
        <w:rPr>
          <w:rFonts w:ascii="Times New Roman" w:hAnsi="Times New Roman" w:cs="Times New Roman"/>
          <w:bCs/>
          <w:sz w:val="24"/>
          <w:szCs w:val="24"/>
        </w:rPr>
      </w:pPr>
      <w:r w:rsidRPr="006F6B0C">
        <w:rPr>
          <w:rFonts w:ascii="Times New Roman" w:eastAsia="Times New Roman" w:hAnsi="Times New Roman" w:cs="Times New Roman"/>
          <w:sz w:val="24"/>
          <w:szCs w:val="24"/>
        </w:rPr>
        <w:t>What are the current levels of digital literacy s</w:t>
      </w:r>
      <w:r w:rsidR="00186027" w:rsidRPr="006F6B0C">
        <w:rPr>
          <w:rFonts w:ascii="Times New Roman" w:eastAsia="Times New Roman" w:hAnsi="Times New Roman" w:cs="Times New Roman"/>
          <w:sz w:val="24"/>
          <w:szCs w:val="24"/>
        </w:rPr>
        <w:t>kills possessed by undergraduates</w:t>
      </w:r>
      <w:r w:rsidRPr="006F6B0C">
        <w:rPr>
          <w:rFonts w:ascii="Times New Roman" w:eastAsia="Times New Roman" w:hAnsi="Times New Roman" w:cs="Times New Roman"/>
          <w:sz w:val="24"/>
          <w:szCs w:val="24"/>
        </w:rPr>
        <w:t xml:space="preserve"> in </w:t>
      </w:r>
      <w:r w:rsidRPr="006F6B0C">
        <w:rPr>
          <w:rFonts w:ascii="Times New Roman" w:hAnsi="Times New Roman" w:cs="Times New Roman"/>
          <w:bCs/>
          <w:sz w:val="24"/>
          <w:szCs w:val="24"/>
        </w:rPr>
        <w:t xml:space="preserve">Dennis </w:t>
      </w:r>
      <w:proofErr w:type="spellStart"/>
      <w:r w:rsidRPr="006F6B0C">
        <w:rPr>
          <w:rFonts w:ascii="Times New Roman" w:hAnsi="Times New Roman" w:cs="Times New Roman"/>
          <w:bCs/>
          <w:sz w:val="24"/>
          <w:szCs w:val="24"/>
        </w:rPr>
        <w:t>Osadebay</w:t>
      </w:r>
      <w:proofErr w:type="spellEnd"/>
      <w:r w:rsidRPr="006F6B0C">
        <w:rPr>
          <w:rFonts w:ascii="Times New Roman" w:hAnsi="Times New Roman" w:cs="Times New Roman"/>
          <w:bCs/>
          <w:sz w:val="24"/>
          <w:szCs w:val="24"/>
        </w:rPr>
        <w:t xml:space="preserve"> University</w:t>
      </w:r>
      <w:r w:rsidRPr="006F6B0C">
        <w:rPr>
          <w:rFonts w:ascii="Times New Roman" w:eastAsia="Times New Roman" w:hAnsi="Times New Roman" w:cs="Times New Roman"/>
          <w:sz w:val="24"/>
          <w:szCs w:val="24"/>
        </w:rPr>
        <w:t>?</w:t>
      </w:r>
    </w:p>
    <w:p w14:paraId="4A3109F9" w14:textId="77777777" w:rsidR="00FA5E6B" w:rsidRPr="006F6B0C" w:rsidRDefault="004C586F">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hAnsi="Times New Roman" w:cs="Times New Roman"/>
          <w:bCs/>
          <w:sz w:val="24"/>
          <w:szCs w:val="24"/>
        </w:rPr>
        <w:t>What are the challenges undergraduates in Dennis Osadebay University face in acquiring digital literacy skills</w:t>
      </w:r>
      <w:r w:rsidRPr="006F6B0C">
        <w:rPr>
          <w:rFonts w:ascii="Times New Roman" w:eastAsia="Times New Roman" w:hAnsi="Times New Roman" w:cs="Times New Roman"/>
          <w:sz w:val="24"/>
          <w:szCs w:val="24"/>
        </w:rPr>
        <w:t>?</w:t>
      </w:r>
    </w:p>
    <w:p w14:paraId="56588446" w14:textId="77777777" w:rsidR="00FA5E6B" w:rsidRPr="006F6B0C" w:rsidRDefault="004C586F">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6F6B0C">
        <w:rPr>
          <w:rFonts w:ascii="Times New Roman" w:eastAsia="SimSun" w:hAnsi="Times New Roman" w:cs="Times New Roman"/>
          <w:bCs/>
          <w:sz w:val="24"/>
          <w:szCs w:val="24"/>
        </w:rPr>
        <w:t xml:space="preserve">What strategies can be implemented in improving digital literacy skills among undergraduates in </w:t>
      </w:r>
      <w:r w:rsidRPr="006F6B0C">
        <w:rPr>
          <w:rFonts w:ascii="Times New Roman" w:hAnsi="Times New Roman" w:cs="Times New Roman"/>
          <w:bCs/>
          <w:sz w:val="24"/>
          <w:szCs w:val="24"/>
        </w:rPr>
        <w:t>Dennis Osadebay University?</w:t>
      </w:r>
    </w:p>
    <w:p w14:paraId="1CD76413" w14:textId="77777777" w:rsidR="00F32DFA" w:rsidRPr="006F6B0C" w:rsidRDefault="00F32DFA">
      <w:pPr>
        <w:spacing w:line="360" w:lineRule="auto"/>
        <w:jc w:val="both"/>
        <w:rPr>
          <w:rFonts w:ascii="Times New Roman" w:eastAsia="Times New Roman" w:hAnsi="Times New Roman" w:cs="Times New Roman"/>
          <w:b/>
          <w:color w:val="000000"/>
          <w:sz w:val="24"/>
          <w:szCs w:val="24"/>
        </w:rPr>
      </w:pPr>
    </w:p>
    <w:p w14:paraId="0E26DCEF" w14:textId="77777777" w:rsidR="00F32DFA" w:rsidRPr="006F6B0C" w:rsidRDefault="00F32DFA">
      <w:pPr>
        <w:spacing w:line="360" w:lineRule="auto"/>
        <w:jc w:val="both"/>
        <w:rPr>
          <w:rFonts w:ascii="Times New Roman" w:eastAsia="Times New Roman" w:hAnsi="Times New Roman" w:cs="Times New Roman"/>
          <w:b/>
          <w:color w:val="000000"/>
          <w:sz w:val="24"/>
          <w:szCs w:val="24"/>
        </w:rPr>
      </w:pPr>
    </w:p>
    <w:p w14:paraId="03F680DD" w14:textId="77777777" w:rsidR="00FA5E6B" w:rsidRPr="006F6B0C" w:rsidRDefault="004C586F">
      <w:pPr>
        <w:spacing w:line="360" w:lineRule="auto"/>
        <w:jc w:val="both"/>
        <w:rPr>
          <w:rFonts w:ascii="Times New Roman" w:eastAsia="Times New Roman" w:hAnsi="Times New Roman" w:cs="Times New Roman"/>
          <w:b/>
          <w:sz w:val="24"/>
          <w:szCs w:val="24"/>
        </w:rPr>
      </w:pPr>
      <w:r w:rsidRPr="006F6B0C">
        <w:rPr>
          <w:rFonts w:ascii="Times New Roman" w:eastAsia="Times New Roman" w:hAnsi="Times New Roman" w:cs="Times New Roman"/>
          <w:b/>
          <w:color w:val="000000"/>
          <w:sz w:val="24"/>
          <w:szCs w:val="24"/>
        </w:rPr>
        <w:t>Research Hypotheses</w:t>
      </w:r>
    </w:p>
    <w:p w14:paraId="22BA4F11" w14:textId="77777777" w:rsidR="00FA5E6B" w:rsidRPr="006F6B0C" w:rsidRDefault="004C586F">
      <w:pPr>
        <w:spacing w:line="360" w:lineRule="auto"/>
        <w:ind w:left="720"/>
        <w:jc w:val="both"/>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hypotheses will be tested on a 0.05 level of significance.</w:t>
      </w:r>
    </w:p>
    <w:p w14:paraId="6077FC2A" w14:textId="77777777" w:rsidR="00FA5E6B" w:rsidRPr="006F6B0C" w:rsidRDefault="004C586F">
      <w:pPr>
        <w:pStyle w:val="ListParagraph"/>
        <w:numPr>
          <w:ilvl w:val="0"/>
          <w:numId w:val="20"/>
        </w:numPr>
        <w:spacing w:line="360" w:lineRule="auto"/>
        <w:jc w:val="both"/>
        <w:rPr>
          <w:rFonts w:ascii="Times New Roman" w:hAnsi="Times New Roman" w:cs="Times New Roman"/>
          <w:sz w:val="24"/>
          <w:szCs w:val="24"/>
        </w:rPr>
      </w:pPr>
      <w:r w:rsidRPr="006F6B0C">
        <w:rPr>
          <w:rFonts w:ascii="Times New Roman" w:hAnsi="Times New Roman" w:cs="Times New Roman"/>
          <w:sz w:val="24"/>
          <w:szCs w:val="24"/>
        </w:rPr>
        <w:lastRenderedPageBreak/>
        <w:t>Ho</w:t>
      </w:r>
      <w:r w:rsidRPr="006F6B0C">
        <w:rPr>
          <w:rFonts w:ascii="Times New Roman" w:hAnsi="Times New Roman" w:cs="Times New Roman"/>
          <w:sz w:val="24"/>
          <w:szCs w:val="24"/>
          <w:vertAlign w:val="subscript"/>
        </w:rPr>
        <w:t>1</w:t>
      </w:r>
      <w:r w:rsidRPr="006F6B0C">
        <w:rPr>
          <w:rFonts w:ascii="Times New Roman" w:hAnsi="Times New Roman" w:cs="Times New Roman"/>
          <w:b/>
          <w:bCs/>
          <w:sz w:val="24"/>
          <w:szCs w:val="24"/>
          <w:vertAlign w:val="subscript"/>
        </w:rPr>
        <w:t xml:space="preserve">: </w:t>
      </w:r>
      <w:r w:rsidRPr="006F6B0C">
        <w:rPr>
          <w:rFonts w:ascii="Times New Roman" w:hAnsi="Times New Roman" w:cs="Times New Roman"/>
          <w:sz w:val="24"/>
          <w:szCs w:val="24"/>
        </w:rPr>
        <w:t>There is no significant difference between digital literacy skill acquisition and undergraduate students in Dennis Osadebay University.</w:t>
      </w:r>
    </w:p>
    <w:p w14:paraId="7611D1EA" w14:textId="77777777" w:rsidR="00FA5E6B" w:rsidRPr="006F6B0C" w:rsidRDefault="00FA5E6B">
      <w:pPr>
        <w:spacing w:line="360" w:lineRule="auto"/>
        <w:rPr>
          <w:rFonts w:ascii="Times New Roman" w:eastAsia="Times New Roman" w:hAnsi="Times New Roman" w:cs="Times New Roman"/>
          <w:b/>
          <w:color w:val="000000"/>
          <w:sz w:val="24"/>
          <w:szCs w:val="24"/>
        </w:rPr>
      </w:pPr>
    </w:p>
    <w:p w14:paraId="24AEE51C" w14:textId="77777777" w:rsidR="00FA5E6B" w:rsidRPr="006F6B0C" w:rsidRDefault="004C586F">
      <w:pPr>
        <w:spacing w:line="360" w:lineRule="auto"/>
        <w:rPr>
          <w:rFonts w:ascii="Times New Roman" w:eastAsia="Times New Roman" w:hAnsi="Times New Roman" w:cs="Times New Roman"/>
          <w:b/>
          <w:color w:val="000000"/>
          <w:sz w:val="24"/>
          <w:szCs w:val="24"/>
        </w:rPr>
      </w:pPr>
      <w:r w:rsidRPr="006F6B0C">
        <w:rPr>
          <w:rFonts w:ascii="Times New Roman" w:eastAsia="Times New Roman" w:hAnsi="Times New Roman" w:cs="Times New Roman"/>
          <w:b/>
          <w:color w:val="000000"/>
          <w:sz w:val="24"/>
          <w:szCs w:val="24"/>
        </w:rPr>
        <w:t>Literature Review</w:t>
      </w:r>
    </w:p>
    <w:p w14:paraId="64983A9C" w14:textId="77777777" w:rsidR="00FA5E6B" w:rsidRPr="006F6B0C" w:rsidRDefault="004C586F">
      <w:pPr>
        <w:spacing w:before="100" w:beforeAutospacing="1" w:after="100" w:afterAutospacing="1" w:line="360" w:lineRule="auto"/>
        <w:rPr>
          <w:rFonts w:ascii="Times New Roman" w:eastAsia="Times New Roman" w:hAnsi="Times New Roman" w:cs="Times New Roman"/>
          <w:b/>
          <w:sz w:val="24"/>
          <w:szCs w:val="24"/>
        </w:rPr>
      </w:pPr>
      <w:r w:rsidRPr="006F6B0C">
        <w:rPr>
          <w:rFonts w:ascii="Times New Roman" w:eastAsia="Times New Roman" w:hAnsi="Times New Roman" w:cs="Times New Roman"/>
          <w:b/>
          <w:bCs/>
          <w:sz w:val="24"/>
          <w:szCs w:val="24"/>
        </w:rPr>
        <w:t xml:space="preserve">The </w:t>
      </w:r>
      <w:r w:rsidRPr="006F6B0C">
        <w:rPr>
          <w:rFonts w:ascii="Times New Roman" w:eastAsia="Times New Roman" w:hAnsi="Times New Roman" w:cs="Times New Roman"/>
          <w:b/>
          <w:sz w:val="24"/>
          <w:szCs w:val="24"/>
        </w:rPr>
        <w:t>Level of Digital Literacy Skills Amongst Undergraduate Students</w:t>
      </w:r>
    </w:p>
    <w:p w14:paraId="3F0D71E7" w14:textId="77777777" w:rsidR="00FA5E6B" w:rsidRPr="006F6B0C" w:rsidRDefault="004C586F">
      <w:pPr>
        <w:spacing w:before="100" w:beforeAutospacing="1" w:after="100" w:afterAutospacing="1" w:line="360" w:lineRule="auto"/>
        <w:ind w:firstLine="720"/>
        <w:rPr>
          <w:rFonts w:ascii="Times New Roman" w:eastAsia="Times New Roman" w:hAnsi="Times New Roman" w:cs="Times New Roman"/>
          <w:color w:val="FF0000"/>
          <w:sz w:val="24"/>
          <w:szCs w:val="24"/>
        </w:rPr>
      </w:pPr>
      <w:r w:rsidRPr="006F6B0C">
        <w:rPr>
          <w:rFonts w:ascii="Times New Roman" w:eastAsia="Times New Roman" w:hAnsi="Times New Roman" w:cs="Times New Roman"/>
          <w:sz w:val="24"/>
          <w:szCs w:val="24"/>
        </w:rPr>
        <w:t xml:space="preserve">Digital literacy is growing in the 21st century. Growing workplace needs for digital literacy have driven specific education sector interventions and innovations to teach future workers digital skills. Media literacy, information literacy, technological literacy, visual literacy, communication literacy, and computer literacy are all part of digital literacy. Digital technology is becoming increasingly important, thus how people utilize it, how they connect online, and how they may perform digital jobs must be considered (Reddy, Chaudhary &amp; Hussein, </w:t>
      </w:r>
      <w:r w:rsidR="005031A3" w:rsidRPr="006F6B0C">
        <w:rPr>
          <w:rFonts w:ascii="Times New Roman" w:eastAsia="Times New Roman" w:hAnsi="Times New Roman" w:cs="Times New Roman"/>
          <w:sz w:val="24"/>
          <w:szCs w:val="24"/>
        </w:rPr>
        <w:t>2023)</w:t>
      </w:r>
      <w:r w:rsidRPr="006F6B0C">
        <w:rPr>
          <w:rFonts w:ascii="Times New Roman" w:eastAsia="Times New Roman" w:hAnsi="Times New Roman" w:cs="Times New Roman"/>
          <w:sz w:val="24"/>
          <w:szCs w:val="24"/>
        </w:rPr>
        <w:t xml:space="preserve">. Digital literacy is the ability to navigate </w:t>
      </w:r>
      <w:r w:rsidR="004F04ED" w:rsidRPr="006F6B0C">
        <w:rPr>
          <w:rFonts w:ascii="Times New Roman" w:eastAsia="Times New Roman" w:hAnsi="Times New Roman" w:cs="Times New Roman"/>
          <w:sz w:val="24"/>
          <w:szCs w:val="24"/>
        </w:rPr>
        <w:t>fragmented</w:t>
      </w:r>
      <w:r w:rsidRPr="006F6B0C">
        <w:rPr>
          <w:rFonts w:ascii="Times New Roman" w:eastAsia="Times New Roman" w:hAnsi="Times New Roman" w:cs="Times New Roman"/>
          <w:sz w:val="24"/>
          <w:szCs w:val="24"/>
        </w:rPr>
        <w:t xml:space="preserve"> and complicated information eco</w:t>
      </w:r>
      <w:r w:rsidR="004F04ED" w:rsidRPr="006F6B0C">
        <w:rPr>
          <w:rFonts w:ascii="Times New Roman" w:eastAsia="Times New Roman" w:hAnsi="Times New Roman" w:cs="Times New Roman"/>
          <w:sz w:val="24"/>
          <w:szCs w:val="24"/>
        </w:rPr>
        <w:t>logy (</w:t>
      </w:r>
      <w:proofErr w:type="spellStart"/>
      <w:r w:rsidRPr="006F6B0C">
        <w:rPr>
          <w:rFonts w:ascii="Times New Roman" w:eastAsia="Times New Roman" w:hAnsi="Times New Roman" w:cs="Times New Roman"/>
          <w:sz w:val="24"/>
          <w:szCs w:val="24"/>
        </w:rPr>
        <w:t>Tinmaz</w:t>
      </w:r>
      <w:proofErr w:type="spellEnd"/>
      <w:r w:rsidRPr="006F6B0C">
        <w:rPr>
          <w:rFonts w:ascii="Times New Roman" w:eastAsia="Times New Roman" w:hAnsi="Times New Roman" w:cs="Times New Roman"/>
          <w:sz w:val="24"/>
          <w:szCs w:val="24"/>
        </w:rPr>
        <w:t xml:space="preserve"> et al.</w:t>
      </w:r>
      <w:r w:rsidR="004F04ED" w:rsidRPr="006F6B0C">
        <w:rPr>
          <w:rFonts w:ascii="Times New Roman" w:eastAsia="Times New Roman" w:hAnsi="Times New Roman" w:cs="Times New Roman"/>
          <w:sz w:val="24"/>
          <w:szCs w:val="24"/>
        </w:rPr>
        <w:t xml:space="preserve"> </w:t>
      </w:r>
      <w:r w:rsidRPr="006F6B0C">
        <w:rPr>
          <w:rFonts w:ascii="Times New Roman" w:eastAsia="Times New Roman" w:hAnsi="Times New Roman" w:cs="Times New Roman"/>
          <w:sz w:val="24"/>
          <w:szCs w:val="24"/>
        </w:rPr>
        <w:t xml:space="preserve">2022). Digital literacy clusters (a) </w:t>
      </w:r>
      <w:proofErr w:type="gramStart"/>
      <w:r w:rsidRPr="006F6B0C">
        <w:rPr>
          <w:rFonts w:ascii="Times New Roman" w:eastAsia="Times New Roman" w:hAnsi="Times New Roman" w:cs="Times New Roman"/>
          <w:sz w:val="24"/>
          <w:szCs w:val="24"/>
        </w:rPr>
        <w:t>finds</w:t>
      </w:r>
      <w:proofErr w:type="gramEnd"/>
      <w:r w:rsidRPr="006F6B0C">
        <w:rPr>
          <w:rFonts w:ascii="Times New Roman" w:eastAsia="Times New Roman" w:hAnsi="Times New Roman" w:cs="Times New Roman"/>
          <w:sz w:val="24"/>
          <w:szCs w:val="24"/>
        </w:rPr>
        <w:t xml:space="preserve"> and consumes digital content; (b) creates digital content; (c) communicates or shares digital content. Therefore, their literature explains digital literacy in different ways by linking technical and non-technical factors. Technical factors include digital device, software, and internet platform utilization. The non-technical parts include cognitive and social abilities needed to use digital technologies responsibly. Navigating the digital world requires both. Critical thinking, creativity, and invention underpin Digital Competence. Any school curriculum should teach ICT as a thinking tool (</w:t>
      </w:r>
      <w:proofErr w:type="spellStart"/>
      <w:r w:rsidRPr="006F6B0C">
        <w:rPr>
          <w:rFonts w:ascii="Times New Roman" w:eastAsia="Times New Roman" w:hAnsi="Times New Roman" w:cs="Times New Roman"/>
          <w:sz w:val="24"/>
          <w:szCs w:val="24"/>
        </w:rPr>
        <w:t>Tinmaz</w:t>
      </w:r>
      <w:proofErr w:type="spellEnd"/>
      <w:r w:rsidRPr="006F6B0C">
        <w:rPr>
          <w:rFonts w:ascii="Times New Roman" w:eastAsia="Times New Roman" w:hAnsi="Times New Roman" w:cs="Times New Roman"/>
          <w:sz w:val="24"/>
          <w:szCs w:val="24"/>
        </w:rPr>
        <w:t xml:space="preserve">, et al., </w:t>
      </w:r>
      <w:r w:rsidR="00703807" w:rsidRPr="006F6B0C">
        <w:rPr>
          <w:rFonts w:ascii="Times New Roman" w:eastAsia="Times New Roman" w:hAnsi="Times New Roman" w:cs="Times New Roman"/>
          <w:sz w:val="24"/>
          <w:szCs w:val="24"/>
        </w:rPr>
        <w:t>2022).</w:t>
      </w:r>
    </w:p>
    <w:p w14:paraId="01D76EBB" w14:textId="77777777" w:rsidR="00FA5E6B" w:rsidRPr="006F6B0C" w:rsidRDefault="004C586F">
      <w:pPr>
        <w:spacing w:before="100" w:beforeAutospacing="1" w:after="100" w:afterAutospacing="1" w:line="360" w:lineRule="auto"/>
        <w:ind w:firstLine="720"/>
        <w:rPr>
          <w:rFonts w:ascii="Times New Roman" w:eastAsia="Times New Roman" w:hAnsi="Times New Roman" w:cs="Times New Roman"/>
          <w:b/>
          <w:sz w:val="24"/>
          <w:szCs w:val="24"/>
        </w:rPr>
      </w:pPr>
      <w:r w:rsidRPr="006F6B0C">
        <w:rPr>
          <w:rFonts w:ascii="Times New Roman" w:eastAsia="Times New Roman" w:hAnsi="Times New Roman" w:cs="Times New Roman"/>
          <w:sz w:val="24"/>
          <w:szCs w:val="24"/>
        </w:rPr>
        <w:t>The study by Lyu</w:t>
      </w:r>
      <w:r w:rsidRPr="006F6B0C">
        <w:rPr>
          <w:rFonts w:ascii="Times New Roman" w:eastAsia="Times New Roman" w:hAnsi="Times New Roman" w:cs="Times New Roman"/>
          <w:i/>
          <w:color w:val="FF0000"/>
          <w:sz w:val="24"/>
          <w:szCs w:val="24"/>
        </w:rPr>
        <w:t xml:space="preserve">, </w:t>
      </w:r>
      <w:r w:rsidRPr="006F6B0C">
        <w:rPr>
          <w:rFonts w:ascii="Times New Roman" w:eastAsia="Times New Roman" w:hAnsi="Times New Roman" w:cs="Times New Roman"/>
          <w:sz w:val="24"/>
          <w:szCs w:val="24"/>
        </w:rPr>
        <w:t>et al. (2024) included 267 valid responses from animal science students at two Chinese agricultural institutions. Their study found that animal science students were less confident in digital content development, safety, and problem-solving and had less knowledge of animal husbandry digital technology. They were aware of the digital transformation trend and acknowledged their knowledge and skills gaps. Students also strongly supported introducing digital technologies into animal husbandry production and curricula. The Lyu</w:t>
      </w:r>
      <w:r w:rsidR="007B4921" w:rsidRPr="006F6B0C">
        <w:rPr>
          <w:rFonts w:ascii="Times New Roman" w:eastAsia="Times New Roman" w:hAnsi="Times New Roman" w:cs="Times New Roman"/>
          <w:color w:val="FF0000"/>
          <w:sz w:val="24"/>
          <w:szCs w:val="24"/>
        </w:rPr>
        <w:t>,</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et al. (2024) study showed that animal science courses must incorpora</w:t>
      </w:r>
      <w:r w:rsidR="007B4921" w:rsidRPr="006F6B0C">
        <w:rPr>
          <w:rFonts w:ascii="Times New Roman" w:eastAsia="Times New Roman" w:hAnsi="Times New Roman" w:cs="Times New Roman"/>
          <w:sz w:val="24"/>
          <w:szCs w:val="24"/>
        </w:rPr>
        <w:t xml:space="preserve">te digital technologies. Jing, </w:t>
      </w:r>
      <w:r w:rsidRPr="006F6B0C">
        <w:rPr>
          <w:rFonts w:ascii="Times New Roman" w:eastAsia="Times New Roman" w:hAnsi="Times New Roman" w:cs="Times New Roman"/>
          <w:sz w:val="24"/>
          <w:szCs w:val="24"/>
        </w:rPr>
        <w:t xml:space="preserve">et al. (2024) found that agriculture college students had middle-level information literacy and the lowest academic research and information inquiry scores. The research found that grade, GPA, computer level, educational level, need for success, learning </w:t>
      </w:r>
      <w:r w:rsidRPr="006F6B0C">
        <w:rPr>
          <w:rFonts w:ascii="Times New Roman" w:eastAsia="Times New Roman" w:hAnsi="Times New Roman" w:cs="Times New Roman"/>
          <w:sz w:val="24"/>
          <w:szCs w:val="24"/>
        </w:rPr>
        <w:lastRenderedPageBreak/>
        <w:t>style, Information Literacy (IL) course, digital resources, multimedia assignments, title to information quality, collaborative projects, number of published articles, interaction group of students with friends and colleagues 14, and IL facility satisfaction affect college students' information literacy.</w:t>
      </w:r>
    </w:p>
    <w:p w14:paraId="40BFBE2C" w14:textId="77777777" w:rsidR="00FA5E6B" w:rsidRPr="006F6B0C" w:rsidRDefault="004C586F">
      <w:pPr>
        <w:pStyle w:val="NormalWeb"/>
        <w:spacing w:line="360" w:lineRule="auto"/>
        <w:rPr>
          <w:b/>
          <w:bCs/>
        </w:rPr>
      </w:pPr>
      <w:r w:rsidRPr="006F6B0C">
        <w:rPr>
          <w:b/>
          <w:bCs/>
        </w:rPr>
        <w:t>Challenges Undergraduate Students Face in Acquiring Digital Literacy Skills</w:t>
      </w:r>
    </w:p>
    <w:p w14:paraId="16EF6758"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Traboulsi (2024) reports that many poor country students lack basic digital literacy abilities like computer, internet, and digital tool and resource use. Online learning requires greater student initiative than traditional learning, where the teacher is a facilitator and resource. Students without technical abilities or access to adequate technology may have trouble using e-learning systems. For instance, students who struggle with basic computer skills or internet resources may struggle to keep up with their coursework, which can hurt their academic performance and impede their educational advancement. Advanced learners experience many challenges as they work to improve their digital literacy. Mokhtari (2023) calls certain issues the ‘digital divide’. People's unequal access to and usage of digital technologies including computers, the internet, and other gadgets is called the digital divide. The divide between individuals who can use these technologies and those who cannot is often due to socio-economic, regional, and demographic variables. The digital gap can affect education, employment, healthcare, and social and economic prospects. Without digital technology, people may have trouble accessing information, education, jobs, and online services. The digital divide is addressed by improving digital infrastructure, internet accessibility, inexpensive digital devices, and digital literacy and skills training for marginalized groups. The digital divide must be bridged to promote digital inclusion, equitable opportunity, and full participation in the digital era.</w:t>
      </w:r>
    </w:p>
    <w:p w14:paraId="795C5EC7"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 xml:space="preserve">Luai et al. (2024) found that most Malaysian dental students learn digital literacy easily. His findings indicated (95.21%) ‘uploading papers online’, (94.61%) ‘sending and receiving e-mails’, and (92.41%) ‘using different social media platforms’. The mean score of dentistry students' digital literacy (DL) skill was 31.13 (SD ± 4.95), indicating a considerable range. After adjusting the relevant confounders, multiple linear regression predicted that dental students from public dental schools positively influence the DL level (p= 0.026). Malaysian dental students have moderate DL skills. Current dental education and training should prioritize undergraduate </w:t>
      </w:r>
      <w:r w:rsidRPr="006F6B0C">
        <w:rPr>
          <w:rFonts w:ascii="Times New Roman" w:eastAsia="Times New Roman" w:hAnsi="Times New Roman" w:cs="Times New Roman"/>
          <w:sz w:val="24"/>
          <w:szCs w:val="24"/>
        </w:rPr>
        <w:lastRenderedPageBreak/>
        <w:t xml:space="preserve">DL skills. This data allows policymakers and educators to improve students' learning ways by changing the educational method. Nkansah and Oldac (2024) collected data of 16 undergraduates in a large public university in Ghana in a four-months period. According to their research, various variables cause pupils' digital literacy knowledge and abilities gap. Undergraduates attribute these reasons to global and micro variables. The students attributed their skills gap to personal, parental, institutional, and government factors, pointing to the need for concerted action from national and international policymakers and educators alike. Participants agreed that public university ICT labs were inadequate because the government lacked finances to equip them. They admitted that institutions could not provide students with adequate information and communication technology (ICT) resources without government support. This is one reason they need to develop digital literacy. The participants also agreed that unreliable and poor internet access at their schools had a negative impact on their ability to think digitally (Nkansah &amp; </w:t>
      </w:r>
      <w:proofErr w:type="spellStart"/>
      <w:r w:rsidRPr="006F6B0C">
        <w:rPr>
          <w:rFonts w:ascii="Times New Roman" w:eastAsia="Times New Roman" w:hAnsi="Times New Roman" w:cs="Times New Roman"/>
          <w:sz w:val="24"/>
          <w:szCs w:val="24"/>
        </w:rPr>
        <w:t>Oldac</w:t>
      </w:r>
      <w:proofErr w:type="spellEnd"/>
      <w:r w:rsidRPr="006F6B0C">
        <w:rPr>
          <w:rFonts w:ascii="Times New Roman" w:eastAsia="Times New Roman" w:hAnsi="Times New Roman" w:cs="Times New Roman"/>
          <w:sz w:val="24"/>
          <w:szCs w:val="24"/>
        </w:rPr>
        <w:t>, 2024).</w:t>
      </w:r>
    </w:p>
    <w:p w14:paraId="67ACE0E4" w14:textId="77777777" w:rsidR="00FA5E6B" w:rsidRPr="006F6B0C" w:rsidRDefault="004C586F">
      <w:pPr>
        <w:spacing w:before="100" w:beforeAutospacing="1" w:after="100" w:afterAutospacing="1" w:line="360" w:lineRule="auto"/>
        <w:rPr>
          <w:rFonts w:ascii="Times New Roman" w:hAnsi="Times New Roman" w:cs="Times New Roman"/>
          <w:b/>
          <w:bCs/>
          <w:sz w:val="24"/>
          <w:szCs w:val="24"/>
        </w:rPr>
      </w:pPr>
      <w:r w:rsidRPr="006F6B0C">
        <w:rPr>
          <w:rFonts w:ascii="Times New Roman" w:hAnsi="Times New Roman" w:cs="Times New Roman"/>
          <w:b/>
          <w:bCs/>
          <w:sz w:val="24"/>
          <w:szCs w:val="24"/>
        </w:rPr>
        <w:t xml:space="preserve">Strategies That Can Be Implemented </w:t>
      </w:r>
      <w:proofErr w:type="gramStart"/>
      <w:r w:rsidRPr="006F6B0C">
        <w:rPr>
          <w:rFonts w:ascii="Times New Roman" w:hAnsi="Times New Roman" w:cs="Times New Roman"/>
          <w:b/>
          <w:bCs/>
          <w:sz w:val="24"/>
          <w:szCs w:val="24"/>
        </w:rPr>
        <w:t>In</w:t>
      </w:r>
      <w:proofErr w:type="gramEnd"/>
      <w:r w:rsidRPr="006F6B0C">
        <w:rPr>
          <w:rFonts w:ascii="Times New Roman" w:hAnsi="Times New Roman" w:cs="Times New Roman"/>
          <w:b/>
          <w:bCs/>
          <w:sz w:val="24"/>
          <w:szCs w:val="24"/>
        </w:rPr>
        <w:t xml:space="preserve"> Improving Digital Literacy Skills Amongst Undergraduate Students</w:t>
      </w:r>
    </w:p>
    <w:p w14:paraId="6E3C7A8B"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Mokhari (2023) stressed the importance of integrating digital skills into university curricula to improve academic performance, lifelong learning, and employment. Despite its potential benefits, digital literacy faces many barriers to adoption. Student challenges include the digital gap, low self-efficacy, anxiousness, and overconfidence. Teachers may lack confidence, training, and change resistance due to digital literacy issues. Institutions' poor accessibility and technological support also hinder them. Higher education institutions need a holistic approach to tackle these challenges and integrate digital literacy. This strategy should engage students and teachers and give them digital skills for the global job market. Higher education may strengthen its credibility and relevance by normalizing technology and making it part of daily life. Digital literacy prepares students and educators for the fast-ch</w:t>
      </w:r>
      <w:r w:rsidR="00202F0C" w:rsidRPr="006F6B0C">
        <w:rPr>
          <w:rFonts w:ascii="Times New Roman" w:eastAsia="Times New Roman" w:hAnsi="Times New Roman" w:cs="Times New Roman"/>
          <w:sz w:val="24"/>
          <w:szCs w:val="24"/>
        </w:rPr>
        <w:t xml:space="preserve">anging digital environment. Rad, </w:t>
      </w:r>
      <w:r w:rsidRPr="006F6B0C">
        <w:rPr>
          <w:rFonts w:ascii="Times New Roman" w:eastAsia="Times New Roman" w:hAnsi="Times New Roman" w:cs="Times New Roman"/>
          <w:sz w:val="24"/>
          <w:szCs w:val="24"/>
        </w:rPr>
        <w:t xml:space="preserve">et al. (2024) found that adaptive learning improves students' writing and self-determination motivation. Adaptive learning apps in writing classrooms have improved students' writing skills and autonomy. This study also suggests that digital literacy teaching improves writing outcomes, self-determined theory, and digital literacy. Their study discovered strong evidence that adaptive learning improves students' writing and self-determination. The use of adaptive learning tools in </w:t>
      </w:r>
      <w:r w:rsidRPr="006F6B0C">
        <w:rPr>
          <w:rFonts w:ascii="Times New Roman" w:eastAsia="Times New Roman" w:hAnsi="Times New Roman" w:cs="Times New Roman"/>
          <w:sz w:val="24"/>
          <w:szCs w:val="24"/>
        </w:rPr>
        <w:lastRenderedPageBreak/>
        <w:t>the writing classroom can improve students' writing and learning. The findings imply that digital literacy teaching enhances these positive impacts, improving writing, self-determined theory, and digital literacy skills. The findings show adaptive learning's potential.</w:t>
      </w:r>
    </w:p>
    <w:p w14:paraId="21362008"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Aydınlar et al. (2024) recommended assessing digital literacy in first-year university students due to unequal computer science instruction in middle and high school. Digital literacy can be promoted in health-based undergraduate edu</w:t>
      </w:r>
      <w:r w:rsidR="00413B7A" w:rsidRPr="006F6B0C">
        <w:rPr>
          <w:rFonts w:ascii="Times New Roman" w:eastAsia="Times New Roman" w:hAnsi="Times New Roman" w:cs="Times New Roman"/>
          <w:sz w:val="24"/>
          <w:szCs w:val="24"/>
        </w:rPr>
        <w:t>cation, especially for women. They</w:t>
      </w:r>
      <w:r w:rsidRPr="006F6B0C">
        <w:rPr>
          <w:rFonts w:ascii="Times New Roman" w:eastAsia="Times New Roman" w:hAnsi="Times New Roman" w:cs="Times New Roman"/>
          <w:sz w:val="24"/>
          <w:szCs w:val="24"/>
        </w:rPr>
        <w:t xml:space="preserve"> also recommend redesigning academic programs to allow more time for digital literacy in healthcare students' already busy schedules to better prepare them for the age of rapidly changing technology. This will support weak domains and avoid repetition of strengths. Evaluate them regularly to see if the altered curriculum helps students. Therefore, health-based university students can learn the digital skills needed in clinical settings.</w:t>
      </w:r>
    </w:p>
    <w:p w14:paraId="34779E5C" w14:textId="77777777" w:rsidR="00FA5E6B" w:rsidRPr="006F6B0C" w:rsidRDefault="004C586F">
      <w:pPr>
        <w:pStyle w:val="NoSpacing"/>
        <w:spacing w:line="360" w:lineRule="auto"/>
        <w:rPr>
          <w:rFonts w:ascii="Times New Roman" w:hAnsi="Times New Roman" w:cs="Times New Roman"/>
          <w:b/>
          <w:sz w:val="24"/>
          <w:szCs w:val="24"/>
        </w:rPr>
      </w:pPr>
      <w:r w:rsidRPr="006F6B0C">
        <w:rPr>
          <w:rFonts w:ascii="Times New Roman" w:eastAsia="Times New Roman" w:hAnsi="Times New Roman" w:cs="Times New Roman"/>
          <w:b/>
          <w:sz w:val="24"/>
          <w:szCs w:val="24"/>
        </w:rPr>
        <w:t xml:space="preserve">Research Methods and </w:t>
      </w:r>
      <w:r w:rsidRPr="006F6B0C">
        <w:rPr>
          <w:rFonts w:ascii="Times New Roman" w:hAnsi="Times New Roman" w:cs="Times New Roman"/>
          <w:b/>
          <w:sz w:val="24"/>
          <w:szCs w:val="24"/>
        </w:rPr>
        <w:t>Presentation of Results and Discussion</w:t>
      </w:r>
    </w:p>
    <w:p w14:paraId="6C0305E3" w14:textId="77777777" w:rsidR="00FA5E6B" w:rsidRPr="006F6B0C" w:rsidRDefault="004C586F">
      <w:pPr>
        <w:spacing w:line="360" w:lineRule="auto"/>
        <w:ind w:firstLine="720"/>
        <w:jc w:val="both"/>
        <w:rPr>
          <w:rFonts w:ascii="Times New Roman" w:hAnsi="Times New Roman" w:cs="Times New Roman"/>
          <w:sz w:val="24"/>
          <w:szCs w:val="24"/>
        </w:rPr>
      </w:pPr>
      <w:r w:rsidRPr="006F6B0C">
        <w:rPr>
          <w:rFonts w:ascii="Times New Roman" w:eastAsia="Times New Roman" w:hAnsi="Times New Roman" w:cs="Times New Roman"/>
          <w:sz w:val="24"/>
          <w:szCs w:val="24"/>
        </w:rPr>
        <w:t>The study population consists of 51 students in 300 level, Faculty of Agriculture, Dennis Osadebay University. The 300level student picked for the population, was as a result of evaluating the digital literacy skill of Agriculture students. A purposive sample technique was employed. Questionnaire was the instrument used for data collection. The questionnaire was developed based on the research objectives and designed to gather both qualitative and quantitative data. Before the distribution, the questionnaire underwent a piloting phase to ensure clarity and relevance. The questionnaires were physically distributed within the school premises to the selected participants</w:t>
      </w:r>
      <w:r w:rsidRPr="006F6B0C">
        <w:rPr>
          <w:rFonts w:ascii="Times New Roman" w:hAnsi="Times New Roman" w:cs="Times New Roman"/>
          <w:sz w:val="24"/>
          <w:szCs w:val="24"/>
        </w:rPr>
        <w:t xml:space="preserve">. </w:t>
      </w:r>
    </w:p>
    <w:p w14:paraId="4B05C6D5" w14:textId="77777777" w:rsidR="00246AF4" w:rsidRPr="006F6B0C" w:rsidRDefault="00246AF4">
      <w:pPr>
        <w:spacing w:line="360" w:lineRule="auto"/>
        <w:jc w:val="both"/>
        <w:rPr>
          <w:rFonts w:ascii="Times New Roman" w:eastAsia="Times New Roman" w:hAnsi="Times New Roman" w:cs="Times New Roman"/>
          <w:color w:val="FF0000"/>
          <w:sz w:val="24"/>
          <w:szCs w:val="24"/>
        </w:rPr>
      </w:pPr>
    </w:p>
    <w:p w14:paraId="37A9AC7A"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 xml:space="preserve">Questionnaire Response Rate </w:t>
      </w:r>
    </w:p>
    <w:p w14:paraId="034A88A9" w14:textId="77777777" w:rsidR="00FA5E6B" w:rsidRPr="006F6B0C" w:rsidRDefault="004C586F">
      <w:pPr>
        <w:spacing w:line="360" w:lineRule="auto"/>
        <w:jc w:val="both"/>
        <w:rPr>
          <w:rFonts w:ascii="Times New Roman" w:hAnsi="Times New Roman" w:cs="Times New Roman"/>
          <w:b/>
          <w:bCs/>
          <w:sz w:val="24"/>
          <w:szCs w:val="24"/>
        </w:rPr>
      </w:pPr>
      <w:r w:rsidRPr="006F6B0C">
        <w:rPr>
          <w:rFonts w:ascii="Times New Roman" w:hAnsi="Times New Roman" w:cs="Times New Roman"/>
          <w:b/>
          <w:bCs/>
          <w:sz w:val="24"/>
          <w:szCs w:val="24"/>
        </w:rPr>
        <w:t>Table 1: Questionnaire Response Rate</w:t>
      </w:r>
    </w:p>
    <w:tbl>
      <w:tblPr>
        <w:tblW w:w="9812" w:type="dxa"/>
        <w:tblLook w:val="04A0" w:firstRow="1" w:lastRow="0" w:firstColumn="1" w:lastColumn="0" w:noHBand="0" w:noVBand="1"/>
      </w:tblPr>
      <w:tblGrid>
        <w:gridCol w:w="3428"/>
        <w:gridCol w:w="3192"/>
        <w:gridCol w:w="3192"/>
      </w:tblGrid>
      <w:tr w:rsidR="00FA5E6B" w:rsidRPr="006F6B0C" w14:paraId="1CA2F291" w14:textId="77777777">
        <w:tc>
          <w:tcPr>
            <w:tcW w:w="3428" w:type="dxa"/>
            <w:tcBorders>
              <w:top w:val="single" w:sz="4" w:space="0" w:color="auto"/>
              <w:bottom w:val="single" w:sz="4" w:space="0" w:color="auto"/>
            </w:tcBorders>
          </w:tcPr>
          <w:p w14:paraId="5D6961AE"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 xml:space="preserve">Number of Questionnaire Administered </w:t>
            </w:r>
          </w:p>
        </w:tc>
        <w:tc>
          <w:tcPr>
            <w:tcW w:w="3192" w:type="dxa"/>
            <w:tcBorders>
              <w:top w:val="single" w:sz="4" w:space="0" w:color="auto"/>
              <w:bottom w:val="single" w:sz="4" w:space="0" w:color="auto"/>
            </w:tcBorders>
          </w:tcPr>
          <w:p w14:paraId="2ED54973"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Number of Questionnaire Returned</w:t>
            </w:r>
          </w:p>
        </w:tc>
        <w:tc>
          <w:tcPr>
            <w:tcW w:w="3192" w:type="dxa"/>
            <w:tcBorders>
              <w:top w:val="single" w:sz="4" w:space="0" w:color="auto"/>
              <w:bottom w:val="single" w:sz="4" w:space="0" w:color="auto"/>
            </w:tcBorders>
          </w:tcPr>
          <w:p w14:paraId="476F8736"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Percentage of Questionnaire Returned</w:t>
            </w:r>
          </w:p>
        </w:tc>
      </w:tr>
      <w:tr w:rsidR="00FA5E6B" w:rsidRPr="006F6B0C" w14:paraId="6B287082" w14:textId="77777777">
        <w:tc>
          <w:tcPr>
            <w:tcW w:w="3428" w:type="dxa"/>
            <w:tcBorders>
              <w:top w:val="single" w:sz="4" w:space="0" w:color="auto"/>
              <w:bottom w:val="single" w:sz="4" w:space="0" w:color="auto"/>
            </w:tcBorders>
          </w:tcPr>
          <w:p w14:paraId="3240773F" w14:textId="77777777" w:rsidR="00FA5E6B" w:rsidRPr="006F6B0C" w:rsidRDefault="004C586F">
            <w:pPr>
              <w:spacing w:line="360" w:lineRule="auto"/>
              <w:jc w:val="center"/>
              <w:rPr>
                <w:rFonts w:ascii="Times New Roman" w:hAnsi="Times New Roman" w:cs="Times New Roman"/>
                <w:sz w:val="24"/>
                <w:szCs w:val="24"/>
              </w:rPr>
            </w:pPr>
            <w:r w:rsidRPr="006F6B0C">
              <w:rPr>
                <w:rFonts w:ascii="Times New Roman" w:hAnsi="Times New Roman" w:cs="Times New Roman"/>
                <w:sz w:val="24"/>
                <w:szCs w:val="24"/>
              </w:rPr>
              <w:t>60</w:t>
            </w:r>
          </w:p>
        </w:tc>
        <w:tc>
          <w:tcPr>
            <w:tcW w:w="3192" w:type="dxa"/>
            <w:tcBorders>
              <w:top w:val="single" w:sz="4" w:space="0" w:color="auto"/>
              <w:bottom w:val="single" w:sz="4" w:space="0" w:color="auto"/>
            </w:tcBorders>
          </w:tcPr>
          <w:p w14:paraId="6E2B8C2B" w14:textId="77777777" w:rsidR="00FA5E6B" w:rsidRPr="006F6B0C" w:rsidRDefault="004C586F">
            <w:pPr>
              <w:spacing w:line="360" w:lineRule="auto"/>
              <w:rPr>
                <w:rFonts w:ascii="Times New Roman" w:hAnsi="Times New Roman" w:cs="Times New Roman"/>
                <w:sz w:val="24"/>
                <w:szCs w:val="24"/>
              </w:rPr>
            </w:pPr>
            <w:r w:rsidRPr="006F6B0C">
              <w:rPr>
                <w:rFonts w:ascii="Times New Roman" w:hAnsi="Times New Roman" w:cs="Times New Roman"/>
                <w:sz w:val="24"/>
                <w:szCs w:val="24"/>
              </w:rPr>
              <w:t>51</w:t>
            </w:r>
          </w:p>
        </w:tc>
        <w:tc>
          <w:tcPr>
            <w:tcW w:w="3192" w:type="dxa"/>
            <w:tcBorders>
              <w:top w:val="single" w:sz="4" w:space="0" w:color="auto"/>
              <w:bottom w:val="single" w:sz="4" w:space="0" w:color="auto"/>
            </w:tcBorders>
          </w:tcPr>
          <w:p w14:paraId="17AD371F" w14:textId="77777777" w:rsidR="00FA5E6B" w:rsidRPr="006F6B0C" w:rsidRDefault="004C586F">
            <w:pPr>
              <w:spacing w:line="360" w:lineRule="auto"/>
              <w:jc w:val="center"/>
              <w:rPr>
                <w:rFonts w:ascii="Times New Roman" w:hAnsi="Times New Roman" w:cs="Times New Roman"/>
                <w:sz w:val="24"/>
                <w:szCs w:val="24"/>
              </w:rPr>
            </w:pPr>
            <w:r w:rsidRPr="006F6B0C">
              <w:rPr>
                <w:rFonts w:ascii="Times New Roman" w:hAnsi="Times New Roman" w:cs="Times New Roman"/>
                <w:sz w:val="24"/>
                <w:szCs w:val="24"/>
              </w:rPr>
              <w:t>85%</w:t>
            </w:r>
          </w:p>
        </w:tc>
      </w:tr>
    </w:tbl>
    <w:p w14:paraId="097119AD" w14:textId="77777777" w:rsidR="00FA5E6B" w:rsidRPr="006F6B0C" w:rsidRDefault="00FA5E6B" w:rsidP="00246AF4">
      <w:pPr>
        <w:spacing w:line="360" w:lineRule="auto"/>
        <w:jc w:val="both"/>
        <w:rPr>
          <w:rFonts w:ascii="Times New Roman" w:hAnsi="Times New Roman" w:cs="Times New Roman"/>
          <w:sz w:val="24"/>
          <w:szCs w:val="24"/>
        </w:rPr>
      </w:pPr>
    </w:p>
    <w:p w14:paraId="52F2AB6F" w14:textId="77777777" w:rsidR="00FA5E6B" w:rsidRPr="006F6B0C" w:rsidRDefault="004C586F">
      <w:pPr>
        <w:spacing w:line="360" w:lineRule="auto"/>
        <w:ind w:firstLine="720"/>
        <w:jc w:val="both"/>
        <w:rPr>
          <w:rFonts w:ascii="Times New Roman" w:hAnsi="Times New Roman" w:cs="Times New Roman"/>
          <w:b/>
          <w:sz w:val="24"/>
          <w:szCs w:val="24"/>
        </w:rPr>
      </w:pPr>
      <w:r w:rsidRPr="006F6B0C">
        <w:rPr>
          <w:rFonts w:ascii="Times New Roman" w:hAnsi="Times New Roman" w:cs="Times New Roman"/>
          <w:sz w:val="24"/>
          <w:szCs w:val="24"/>
        </w:rPr>
        <w:t>A total of 60 copies of the questionnaire were distributed, and 51 copies were returned, yielding a response rate of 85%. This high response rate is considered adequate for the study, as it exceeds the standard acceptable response rate of 60% for most studies.</w:t>
      </w:r>
    </w:p>
    <w:p w14:paraId="42A793E5" w14:textId="77777777" w:rsidR="00246AF4" w:rsidRPr="006F6B0C" w:rsidRDefault="00246AF4">
      <w:pPr>
        <w:spacing w:line="360" w:lineRule="auto"/>
        <w:jc w:val="both"/>
        <w:rPr>
          <w:rFonts w:ascii="Times New Roman" w:hAnsi="Times New Roman" w:cs="Times New Roman"/>
          <w:b/>
          <w:sz w:val="24"/>
          <w:szCs w:val="24"/>
        </w:rPr>
      </w:pPr>
    </w:p>
    <w:p w14:paraId="31E1987A"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lastRenderedPageBreak/>
        <w:t xml:space="preserve">Analysis of the Demographic Data of the Respondents </w:t>
      </w:r>
    </w:p>
    <w:p w14:paraId="36A34375"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bCs/>
          <w:sz w:val="24"/>
          <w:szCs w:val="24"/>
        </w:rPr>
        <w:t xml:space="preserve">Table 2: </w:t>
      </w:r>
      <w:r w:rsidRPr="006F6B0C">
        <w:rPr>
          <w:rFonts w:ascii="Times New Roman" w:hAnsi="Times New Roman" w:cs="Times New Roman"/>
          <w:b/>
          <w:sz w:val="24"/>
          <w:szCs w:val="24"/>
        </w:rPr>
        <w:t xml:space="preserve">Department of the Respondents </w:t>
      </w:r>
    </w:p>
    <w:tbl>
      <w:tblPr>
        <w:tblW w:w="5724" w:type="dxa"/>
        <w:tblInd w:w="30" w:type="dxa"/>
        <w:tblLayout w:type="fixed"/>
        <w:tblCellMar>
          <w:left w:w="30" w:type="dxa"/>
          <w:right w:w="30" w:type="dxa"/>
        </w:tblCellMar>
        <w:tblLook w:val="0000" w:firstRow="0" w:lastRow="0" w:firstColumn="0" w:lastColumn="0" w:noHBand="0" w:noVBand="0"/>
      </w:tblPr>
      <w:tblGrid>
        <w:gridCol w:w="2664"/>
        <w:gridCol w:w="1260"/>
        <w:gridCol w:w="1800"/>
      </w:tblGrid>
      <w:tr w:rsidR="00FA5E6B" w:rsidRPr="006F6B0C" w14:paraId="4E38805D" w14:textId="77777777">
        <w:trPr>
          <w:cantSplit/>
          <w:tblHeader/>
        </w:trPr>
        <w:tc>
          <w:tcPr>
            <w:tcW w:w="2664" w:type="dxa"/>
            <w:tcBorders>
              <w:top w:val="single" w:sz="4" w:space="0" w:color="auto"/>
              <w:bottom w:val="single" w:sz="4" w:space="0" w:color="auto"/>
            </w:tcBorders>
            <w:shd w:val="clear" w:color="auto" w:fill="auto"/>
            <w:tcMar>
              <w:top w:w="30" w:type="dxa"/>
              <w:left w:w="30" w:type="dxa"/>
              <w:bottom w:w="30" w:type="dxa"/>
              <w:right w:w="30" w:type="dxa"/>
            </w:tcMar>
          </w:tcPr>
          <w:p w14:paraId="305FAFC1" w14:textId="77777777" w:rsidR="00FA5E6B" w:rsidRPr="006F6B0C" w:rsidRDefault="004C586F">
            <w:pPr>
              <w:autoSpaceDE w:val="0"/>
              <w:autoSpaceDN w:val="0"/>
              <w:adjustRightInd w:val="0"/>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Departments</w:t>
            </w:r>
          </w:p>
        </w:tc>
        <w:tc>
          <w:tcPr>
            <w:tcW w:w="1260" w:type="dxa"/>
            <w:tcBorders>
              <w:top w:val="single" w:sz="4" w:space="0" w:color="auto"/>
              <w:bottom w:val="single" w:sz="4" w:space="0" w:color="auto"/>
            </w:tcBorders>
            <w:shd w:val="clear" w:color="auto" w:fill="auto"/>
            <w:tcMar>
              <w:top w:w="30" w:type="dxa"/>
              <w:left w:w="30" w:type="dxa"/>
              <w:bottom w:w="30" w:type="dxa"/>
              <w:right w:w="30" w:type="dxa"/>
            </w:tcMar>
            <w:vAlign w:val="bottom"/>
          </w:tcPr>
          <w:p w14:paraId="61E64731" w14:textId="77777777" w:rsidR="00FA5E6B" w:rsidRPr="006F6B0C" w:rsidRDefault="004C586F">
            <w:pPr>
              <w:autoSpaceDE w:val="0"/>
              <w:autoSpaceDN w:val="0"/>
              <w:adjustRightInd w:val="0"/>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Frequency</w:t>
            </w:r>
          </w:p>
        </w:tc>
        <w:tc>
          <w:tcPr>
            <w:tcW w:w="1800" w:type="dxa"/>
            <w:tcBorders>
              <w:top w:val="single" w:sz="4" w:space="0" w:color="auto"/>
              <w:bottom w:val="single" w:sz="4" w:space="0" w:color="auto"/>
            </w:tcBorders>
            <w:shd w:val="clear" w:color="auto" w:fill="auto"/>
            <w:tcMar>
              <w:top w:w="30" w:type="dxa"/>
              <w:left w:w="30" w:type="dxa"/>
              <w:bottom w:w="30" w:type="dxa"/>
              <w:right w:w="30" w:type="dxa"/>
            </w:tcMar>
            <w:vAlign w:val="bottom"/>
          </w:tcPr>
          <w:p w14:paraId="5A4618F6" w14:textId="77777777" w:rsidR="00FA5E6B" w:rsidRPr="006F6B0C" w:rsidRDefault="004C586F">
            <w:pPr>
              <w:autoSpaceDE w:val="0"/>
              <w:autoSpaceDN w:val="0"/>
              <w:adjustRightInd w:val="0"/>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Percentage (%)</w:t>
            </w:r>
          </w:p>
        </w:tc>
      </w:tr>
      <w:tr w:rsidR="00FA5E6B" w:rsidRPr="006F6B0C" w14:paraId="18261378" w14:textId="77777777">
        <w:trPr>
          <w:cantSplit/>
          <w:tblHeader/>
        </w:trPr>
        <w:tc>
          <w:tcPr>
            <w:tcW w:w="2664" w:type="dxa"/>
            <w:tcBorders>
              <w:top w:val="single" w:sz="4" w:space="0" w:color="auto"/>
            </w:tcBorders>
            <w:shd w:val="clear" w:color="auto" w:fill="auto"/>
            <w:tcMar>
              <w:top w:w="30" w:type="dxa"/>
              <w:left w:w="30" w:type="dxa"/>
              <w:bottom w:w="30" w:type="dxa"/>
              <w:right w:w="30" w:type="dxa"/>
            </w:tcMar>
          </w:tcPr>
          <w:p w14:paraId="68A1584F" w14:textId="77777777" w:rsidR="00FA5E6B" w:rsidRPr="006F6B0C" w:rsidRDefault="004C586F">
            <w:pPr>
              <w:spacing w:line="360" w:lineRule="auto"/>
              <w:ind w:right="60"/>
              <w:rPr>
                <w:rFonts w:ascii="Times New Roman" w:hAnsi="Times New Roman" w:cs="Times New Roman"/>
                <w:sz w:val="24"/>
                <w:szCs w:val="24"/>
              </w:rPr>
            </w:pPr>
            <w:r w:rsidRPr="006F6B0C">
              <w:rPr>
                <w:rFonts w:ascii="Times New Roman" w:hAnsi="Times New Roman" w:cs="Times New Roman"/>
                <w:sz w:val="24"/>
                <w:szCs w:val="24"/>
              </w:rPr>
              <w:t>Fishery and Agriculture</w:t>
            </w:r>
          </w:p>
        </w:tc>
        <w:tc>
          <w:tcPr>
            <w:tcW w:w="1260" w:type="dxa"/>
            <w:tcBorders>
              <w:top w:val="single" w:sz="4" w:space="0" w:color="auto"/>
            </w:tcBorders>
            <w:shd w:val="clear" w:color="auto" w:fill="auto"/>
            <w:tcMar>
              <w:top w:w="30" w:type="dxa"/>
              <w:left w:w="30" w:type="dxa"/>
              <w:bottom w:w="30" w:type="dxa"/>
              <w:right w:w="30" w:type="dxa"/>
            </w:tcMar>
          </w:tcPr>
          <w:p w14:paraId="10C5B774"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9</w:t>
            </w:r>
          </w:p>
        </w:tc>
        <w:tc>
          <w:tcPr>
            <w:tcW w:w="1800" w:type="dxa"/>
            <w:tcBorders>
              <w:top w:val="single" w:sz="4" w:space="0" w:color="auto"/>
            </w:tcBorders>
            <w:shd w:val="clear" w:color="auto" w:fill="auto"/>
            <w:tcMar>
              <w:top w:w="30" w:type="dxa"/>
              <w:left w:w="30" w:type="dxa"/>
              <w:bottom w:w="30" w:type="dxa"/>
              <w:right w:w="30" w:type="dxa"/>
            </w:tcMar>
          </w:tcPr>
          <w:p w14:paraId="0C1B8E13"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17.6</w:t>
            </w:r>
          </w:p>
        </w:tc>
      </w:tr>
      <w:tr w:rsidR="00FA5E6B" w:rsidRPr="006F6B0C" w14:paraId="1CE3FC76" w14:textId="77777777">
        <w:trPr>
          <w:cantSplit/>
          <w:tblHeader/>
        </w:trPr>
        <w:tc>
          <w:tcPr>
            <w:tcW w:w="2664" w:type="dxa"/>
            <w:shd w:val="clear" w:color="auto" w:fill="auto"/>
            <w:tcMar>
              <w:top w:w="30" w:type="dxa"/>
              <w:left w:w="30" w:type="dxa"/>
              <w:bottom w:w="30" w:type="dxa"/>
              <w:right w:w="30" w:type="dxa"/>
            </w:tcMar>
          </w:tcPr>
          <w:p w14:paraId="07C5AEA6" w14:textId="77777777" w:rsidR="00FA5E6B" w:rsidRPr="006F6B0C" w:rsidRDefault="004C586F">
            <w:pPr>
              <w:spacing w:line="360" w:lineRule="auto"/>
              <w:ind w:right="60"/>
              <w:rPr>
                <w:rFonts w:ascii="Times New Roman" w:hAnsi="Times New Roman" w:cs="Times New Roman"/>
                <w:sz w:val="24"/>
                <w:szCs w:val="24"/>
              </w:rPr>
            </w:pPr>
            <w:r w:rsidRPr="006F6B0C">
              <w:rPr>
                <w:rFonts w:ascii="Times New Roman" w:hAnsi="Times New Roman" w:cs="Times New Roman"/>
                <w:sz w:val="24"/>
                <w:szCs w:val="24"/>
              </w:rPr>
              <w:t>Agricultural Extension</w:t>
            </w:r>
          </w:p>
        </w:tc>
        <w:tc>
          <w:tcPr>
            <w:tcW w:w="1260" w:type="dxa"/>
            <w:shd w:val="clear" w:color="auto" w:fill="auto"/>
            <w:tcMar>
              <w:top w:w="30" w:type="dxa"/>
              <w:left w:w="30" w:type="dxa"/>
              <w:bottom w:w="30" w:type="dxa"/>
              <w:right w:w="30" w:type="dxa"/>
            </w:tcMar>
          </w:tcPr>
          <w:p w14:paraId="45C9D7CB"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4</w:t>
            </w:r>
          </w:p>
        </w:tc>
        <w:tc>
          <w:tcPr>
            <w:tcW w:w="1800" w:type="dxa"/>
            <w:shd w:val="clear" w:color="auto" w:fill="auto"/>
            <w:tcMar>
              <w:top w:w="30" w:type="dxa"/>
              <w:left w:w="30" w:type="dxa"/>
              <w:bottom w:w="30" w:type="dxa"/>
              <w:right w:w="30" w:type="dxa"/>
            </w:tcMar>
          </w:tcPr>
          <w:p w14:paraId="6B685724"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7.8</w:t>
            </w:r>
          </w:p>
        </w:tc>
      </w:tr>
      <w:tr w:rsidR="00FA5E6B" w:rsidRPr="006F6B0C" w14:paraId="0D90597B" w14:textId="77777777">
        <w:trPr>
          <w:cantSplit/>
        </w:trPr>
        <w:tc>
          <w:tcPr>
            <w:tcW w:w="2664" w:type="dxa"/>
            <w:shd w:val="clear" w:color="auto" w:fill="auto"/>
            <w:tcMar>
              <w:top w:w="30" w:type="dxa"/>
              <w:left w:w="30" w:type="dxa"/>
              <w:bottom w:w="30" w:type="dxa"/>
              <w:right w:w="30" w:type="dxa"/>
            </w:tcMar>
          </w:tcPr>
          <w:p w14:paraId="7159026C"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Animal Production</w:t>
            </w:r>
          </w:p>
        </w:tc>
        <w:tc>
          <w:tcPr>
            <w:tcW w:w="1260" w:type="dxa"/>
            <w:shd w:val="clear" w:color="auto" w:fill="auto"/>
            <w:tcMar>
              <w:top w:w="30" w:type="dxa"/>
              <w:left w:w="30" w:type="dxa"/>
              <w:bottom w:w="30" w:type="dxa"/>
              <w:right w:w="30" w:type="dxa"/>
            </w:tcMar>
          </w:tcPr>
          <w:p w14:paraId="7EBED4FA"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9</w:t>
            </w:r>
          </w:p>
        </w:tc>
        <w:tc>
          <w:tcPr>
            <w:tcW w:w="1800" w:type="dxa"/>
            <w:shd w:val="clear" w:color="auto" w:fill="auto"/>
            <w:tcMar>
              <w:top w:w="30" w:type="dxa"/>
              <w:left w:w="30" w:type="dxa"/>
              <w:bottom w:w="30" w:type="dxa"/>
              <w:right w:w="30" w:type="dxa"/>
            </w:tcMar>
          </w:tcPr>
          <w:p w14:paraId="79FD82D0"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17.6</w:t>
            </w:r>
          </w:p>
        </w:tc>
      </w:tr>
      <w:tr w:rsidR="00FA5E6B" w:rsidRPr="006F6B0C" w14:paraId="0AF15725" w14:textId="77777777">
        <w:trPr>
          <w:cantSplit/>
        </w:trPr>
        <w:tc>
          <w:tcPr>
            <w:tcW w:w="2664" w:type="dxa"/>
            <w:shd w:val="clear" w:color="auto" w:fill="auto"/>
            <w:tcMar>
              <w:top w:w="30" w:type="dxa"/>
              <w:left w:w="30" w:type="dxa"/>
              <w:bottom w:w="30" w:type="dxa"/>
              <w:right w:w="30" w:type="dxa"/>
            </w:tcMar>
          </w:tcPr>
          <w:p w14:paraId="75C57728"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Agricultural Economics</w:t>
            </w:r>
          </w:p>
        </w:tc>
        <w:tc>
          <w:tcPr>
            <w:tcW w:w="1260" w:type="dxa"/>
            <w:shd w:val="clear" w:color="auto" w:fill="auto"/>
            <w:tcMar>
              <w:top w:w="30" w:type="dxa"/>
              <w:left w:w="30" w:type="dxa"/>
              <w:bottom w:w="30" w:type="dxa"/>
              <w:right w:w="30" w:type="dxa"/>
            </w:tcMar>
          </w:tcPr>
          <w:p w14:paraId="33793191"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26</w:t>
            </w:r>
          </w:p>
        </w:tc>
        <w:tc>
          <w:tcPr>
            <w:tcW w:w="1800" w:type="dxa"/>
            <w:shd w:val="clear" w:color="auto" w:fill="auto"/>
            <w:tcMar>
              <w:top w:w="30" w:type="dxa"/>
              <w:left w:w="30" w:type="dxa"/>
              <w:bottom w:w="30" w:type="dxa"/>
              <w:right w:w="30" w:type="dxa"/>
            </w:tcMar>
          </w:tcPr>
          <w:p w14:paraId="4B6F6137"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51.0</w:t>
            </w:r>
          </w:p>
        </w:tc>
      </w:tr>
      <w:tr w:rsidR="00FA5E6B" w:rsidRPr="006F6B0C" w14:paraId="29352095" w14:textId="77777777">
        <w:trPr>
          <w:cantSplit/>
        </w:trPr>
        <w:tc>
          <w:tcPr>
            <w:tcW w:w="2664" w:type="dxa"/>
            <w:shd w:val="clear" w:color="auto" w:fill="auto"/>
            <w:tcMar>
              <w:top w:w="30" w:type="dxa"/>
              <w:left w:w="30" w:type="dxa"/>
              <w:bottom w:w="30" w:type="dxa"/>
              <w:right w:w="30" w:type="dxa"/>
            </w:tcMar>
          </w:tcPr>
          <w:p w14:paraId="67A8E9F3"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Crop Science</w:t>
            </w:r>
          </w:p>
        </w:tc>
        <w:tc>
          <w:tcPr>
            <w:tcW w:w="1260" w:type="dxa"/>
            <w:shd w:val="clear" w:color="auto" w:fill="auto"/>
            <w:tcMar>
              <w:top w:w="30" w:type="dxa"/>
              <w:left w:w="30" w:type="dxa"/>
              <w:bottom w:w="30" w:type="dxa"/>
              <w:right w:w="30" w:type="dxa"/>
            </w:tcMar>
          </w:tcPr>
          <w:p w14:paraId="5624025E"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2</w:t>
            </w:r>
          </w:p>
        </w:tc>
        <w:tc>
          <w:tcPr>
            <w:tcW w:w="1800" w:type="dxa"/>
            <w:shd w:val="clear" w:color="auto" w:fill="auto"/>
            <w:tcMar>
              <w:top w:w="30" w:type="dxa"/>
              <w:left w:w="30" w:type="dxa"/>
              <w:bottom w:w="30" w:type="dxa"/>
              <w:right w:w="30" w:type="dxa"/>
            </w:tcMar>
          </w:tcPr>
          <w:p w14:paraId="3E7BA9FD"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3.9</w:t>
            </w:r>
          </w:p>
        </w:tc>
      </w:tr>
      <w:tr w:rsidR="00FA5E6B" w:rsidRPr="006F6B0C" w14:paraId="4DA4203A" w14:textId="77777777">
        <w:trPr>
          <w:cantSplit/>
        </w:trPr>
        <w:tc>
          <w:tcPr>
            <w:tcW w:w="2664" w:type="dxa"/>
            <w:tcBorders>
              <w:bottom w:val="single" w:sz="4" w:space="0" w:color="auto"/>
            </w:tcBorders>
            <w:shd w:val="clear" w:color="auto" w:fill="auto"/>
            <w:tcMar>
              <w:top w:w="30" w:type="dxa"/>
              <w:left w:w="30" w:type="dxa"/>
              <w:bottom w:w="30" w:type="dxa"/>
              <w:right w:w="30" w:type="dxa"/>
            </w:tcMar>
          </w:tcPr>
          <w:p w14:paraId="762FCD84"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Soil Science</w:t>
            </w:r>
          </w:p>
        </w:tc>
        <w:tc>
          <w:tcPr>
            <w:tcW w:w="1260" w:type="dxa"/>
            <w:tcBorders>
              <w:bottom w:val="single" w:sz="4" w:space="0" w:color="auto"/>
            </w:tcBorders>
            <w:shd w:val="clear" w:color="auto" w:fill="auto"/>
            <w:tcMar>
              <w:top w:w="30" w:type="dxa"/>
              <w:left w:w="30" w:type="dxa"/>
              <w:bottom w:w="30" w:type="dxa"/>
              <w:right w:w="30" w:type="dxa"/>
            </w:tcMar>
          </w:tcPr>
          <w:p w14:paraId="22EC358B"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1</w:t>
            </w:r>
          </w:p>
        </w:tc>
        <w:tc>
          <w:tcPr>
            <w:tcW w:w="1800" w:type="dxa"/>
            <w:tcBorders>
              <w:bottom w:val="single" w:sz="4" w:space="0" w:color="auto"/>
            </w:tcBorders>
            <w:shd w:val="clear" w:color="auto" w:fill="auto"/>
            <w:tcMar>
              <w:top w:w="30" w:type="dxa"/>
              <w:left w:w="30" w:type="dxa"/>
              <w:bottom w:w="30" w:type="dxa"/>
              <w:right w:w="30" w:type="dxa"/>
            </w:tcMar>
          </w:tcPr>
          <w:p w14:paraId="5ACEE13F"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2.0</w:t>
            </w:r>
          </w:p>
        </w:tc>
      </w:tr>
      <w:tr w:rsidR="00FA5E6B" w:rsidRPr="006F6B0C" w14:paraId="3E0D8D36" w14:textId="77777777">
        <w:trPr>
          <w:cantSplit/>
        </w:trPr>
        <w:tc>
          <w:tcPr>
            <w:tcW w:w="2664" w:type="dxa"/>
            <w:tcBorders>
              <w:top w:val="single" w:sz="4" w:space="0" w:color="auto"/>
              <w:bottom w:val="single" w:sz="4" w:space="0" w:color="auto"/>
            </w:tcBorders>
            <w:shd w:val="clear" w:color="auto" w:fill="auto"/>
            <w:tcMar>
              <w:top w:w="30" w:type="dxa"/>
              <w:left w:w="30" w:type="dxa"/>
              <w:bottom w:w="30" w:type="dxa"/>
              <w:right w:w="30" w:type="dxa"/>
            </w:tcMar>
          </w:tcPr>
          <w:p w14:paraId="2C7531F4"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Total</w:t>
            </w:r>
          </w:p>
        </w:tc>
        <w:tc>
          <w:tcPr>
            <w:tcW w:w="1260" w:type="dxa"/>
            <w:tcBorders>
              <w:top w:val="single" w:sz="4" w:space="0" w:color="auto"/>
              <w:bottom w:val="single" w:sz="4" w:space="0" w:color="auto"/>
            </w:tcBorders>
            <w:shd w:val="clear" w:color="auto" w:fill="auto"/>
            <w:tcMar>
              <w:top w:w="30" w:type="dxa"/>
              <w:left w:w="30" w:type="dxa"/>
              <w:bottom w:w="30" w:type="dxa"/>
              <w:right w:w="30" w:type="dxa"/>
            </w:tcMar>
          </w:tcPr>
          <w:p w14:paraId="270A3229"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51</w:t>
            </w:r>
          </w:p>
        </w:tc>
        <w:tc>
          <w:tcPr>
            <w:tcW w:w="1800" w:type="dxa"/>
            <w:tcBorders>
              <w:top w:val="single" w:sz="4" w:space="0" w:color="auto"/>
              <w:bottom w:val="single" w:sz="4" w:space="0" w:color="auto"/>
            </w:tcBorders>
            <w:shd w:val="clear" w:color="auto" w:fill="auto"/>
            <w:tcMar>
              <w:top w:w="30" w:type="dxa"/>
              <w:left w:w="30" w:type="dxa"/>
              <w:bottom w:w="30" w:type="dxa"/>
              <w:right w:w="30" w:type="dxa"/>
            </w:tcMar>
          </w:tcPr>
          <w:p w14:paraId="4D332489"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100.0</w:t>
            </w:r>
          </w:p>
        </w:tc>
      </w:tr>
    </w:tbl>
    <w:p w14:paraId="28EF2A9C" w14:textId="77777777" w:rsidR="00FA5E6B" w:rsidRPr="006F6B0C" w:rsidRDefault="00FA5E6B">
      <w:pPr>
        <w:spacing w:line="360" w:lineRule="auto"/>
        <w:ind w:firstLine="720"/>
        <w:jc w:val="both"/>
        <w:rPr>
          <w:rFonts w:ascii="Times New Roman" w:hAnsi="Times New Roman" w:cs="Times New Roman"/>
          <w:sz w:val="24"/>
          <w:szCs w:val="24"/>
        </w:rPr>
      </w:pPr>
    </w:p>
    <w:p w14:paraId="7A425BEA" w14:textId="77777777" w:rsidR="00FA5E6B" w:rsidRPr="006F6B0C" w:rsidRDefault="004C586F">
      <w:pPr>
        <w:spacing w:line="360" w:lineRule="auto"/>
        <w:ind w:firstLine="720"/>
        <w:jc w:val="both"/>
        <w:rPr>
          <w:rFonts w:ascii="Times New Roman" w:hAnsi="Times New Roman" w:cs="Times New Roman"/>
          <w:sz w:val="24"/>
          <w:szCs w:val="24"/>
        </w:rPr>
      </w:pPr>
      <w:r w:rsidRPr="006F6B0C">
        <w:rPr>
          <w:rFonts w:ascii="Times New Roman" w:hAnsi="Times New Roman" w:cs="Times New Roman"/>
          <w:sz w:val="24"/>
          <w:szCs w:val="24"/>
        </w:rPr>
        <w:t>The data</w:t>
      </w:r>
      <w:r w:rsidRPr="006F6B0C">
        <w:rPr>
          <w:rFonts w:ascii="Times New Roman" w:hAnsi="Times New Roman" w:cs="Times New Roman"/>
          <w:color w:val="FF0000"/>
          <w:sz w:val="24"/>
          <w:szCs w:val="24"/>
        </w:rPr>
        <w:t xml:space="preserve"> </w:t>
      </w:r>
      <w:r w:rsidRPr="006F6B0C">
        <w:rPr>
          <w:rFonts w:ascii="Times New Roman" w:hAnsi="Times New Roman" w:cs="Times New Roman"/>
          <w:sz w:val="24"/>
          <w:szCs w:val="24"/>
        </w:rPr>
        <w:t>on Table 2 shows that the highest number of respondents (26, representing 51.0%) were from the Department of Agricultural Economics, indicating that this department had the greatest representation in the study. This is followed by respondents from the Fishery and Agriculture and Animal Production departments, each with 9 respondents, constituting 17.6% respectively. The Agricultural Extension department had 4 respondents, making up 7.8% of the total. The Crop Science department had 2 respondents (3.9%), while the Soil Science department had the least representation, with only 1 respondent, accounting for 2.0%. In total, data was collected from 51 respondents across all the departments, summing up to 100.0%.</w:t>
      </w:r>
    </w:p>
    <w:p w14:paraId="5ECD1784"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Answering the Research Questions</w:t>
      </w:r>
    </w:p>
    <w:p w14:paraId="7D0C185D"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bCs/>
          <w:sz w:val="24"/>
          <w:szCs w:val="24"/>
        </w:rPr>
        <w:t xml:space="preserve">Table 3: The </w:t>
      </w:r>
      <w:r w:rsidRPr="006F6B0C">
        <w:rPr>
          <w:rFonts w:ascii="Times New Roman" w:eastAsia="Times New Roman" w:hAnsi="Times New Roman" w:cs="Times New Roman"/>
          <w:b/>
          <w:bCs/>
          <w:sz w:val="24"/>
          <w:szCs w:val="24"/>
        </w:rPr>
        <w:t>Levels of Digital Literacy Skills Possessed by Undergraduate Students</w:t>
      </w:r>
      <w:r w:rsidRPr="006F6B0C">
        <w:rPr>
          <w:rFonts w:ascii="Times New Roman" w:hAnsi="Times New Roman" w:cs="Times New Roman"/>
          <w:b/>
          <w:bCs/>
          <w:sz w:val="24"/>
          <w:szCs w:val="24"/>
        </w:rPr>
        <w:t xml:space="preserve"> </w:t>
      </w:r>
      <w:r w:rsidRPr="006F6B0C">
        <w:rPr>
          <w:rFonts w:ascii="Times New Roman" w:hAnsi="Times New Roman" w:cs="Times New Roman"/>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1163"/>
        <w:gridCol w:w="777"/>
        <w:gridCol w:w="1069"/>
        <w:gridCol w:w="710"/>
        <w:gridCol w:w="669"/>
        <w:gridCol w:w="669"/>
      </w:tblGrid>
      <w:tr w:rsidR="00FA5E6B" w:rsidRPr="006F6B0C" w14:paraId="0CF56086" w14:textId="77777777">
        <w:tc>
          <w:tcPr>
            <w:tcW w:w="2618" w:type="dxa"/>
            <w:tcBorders>
              <w:top w:val="single" w:sz="4" w:space="0" w:color="auto"/>
              <w:bottom w:val="single" w:sz="4" w:space="0" w:color="auto"/>
            </w:tcBorders>
          </w:tcPr>
          <w:p w14:paraId="540F99D3"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ITEMS</w:t>
            </w:r>
          </w:p>
        </w:tc>
        <w:tc>
          <w:tcPr>
            <w:tcW w:w="1084" w:type="dxa"/>
            <w:tcBorders>
              <w:top w:val="single" w:sz="4" w:space="0" w:color="auto"/>
              <w:bottom w:val="single" w:sz="4" w:space="0" w:color="auto"/>
            </w:tcBorders>
          </w:tcPr>
          <w:p w14:paraId="758D1F2C"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Excellent</w:t>
            </w:r>
          </w:p>
        </w:tc>
        <w:tc>
          <w:tcPr>
            <w:tcW w:w="730" w:type="dxa"/>
            <w:tcBorders>
              <w:top w:val="single" w:sz="4" w:space="0" w:color="auto"/>
              <w:bottom w:val="single" w:sz="4" w:space="0" w:color="auto"/>
            </w:tcBorders>
          </w:tcPr>
          <w:p w14:paraId="41F1CDED"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Good</w:t>
            </w:r>
          </w:p>
        </w:tc>
        <w:tc>
          <w:tcPr>
            <w:tcW w:w="998" w:type="dxa"/>
            <w:tcBorders>
              <w:top w:val="single" w:sz="4" w:space="0" w:color="auto"/>
              <w:bottom w:val="single" w:sz="4" w:space="0" w:color="auto"/>
            </w:tcBorders>
          </w:tcPr>
          <w:p w14:paraId="7475C926"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Average</w:t>
            </w:r>
          </w:p>
        </w:tc>
        <w:tc>
          <w:tcPr>
            <w:tcW w:w="669" w:type="dxa"/>
            <w:tcBorders>
              <w:top w:val="single" w:sz="4" w:space="0" w:color="auto"/>
              <w:bottom w:val="single" w:sz="4" w:space="0" w:color="auto"/>
            </w:tcBorders>
          </w:tcPr>
          <w:p w14:paraId="65B29EA7"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Poor</w:t>
            </w:r>
          </w:p>
        </w:tc>
        <w:tc>
          <w:tcPr>
            <w:tcW w:w="669" w:type="dxa"/>
            <w:tcBorders>
              <w:top w:val="single" w:sz="4" w:space="0" w:color="auto"/>
              <w:bottom w:val="single" w:sz="4" w:space="0" w:color="auto"/>
            </w:tcBorders>
          </w:tcPr>
          <w:p w14:paraId="107D6395" w14:textId="77777777" w:rsidR="00FA5E6B" w:rsidRPr="006F6B0C" w:rsidRDefault="00000000">
            <w:pPr>
              <w:spacing w:line="360" w:lineRule="auto"/>
              <w:rPr>
                <w:rFonts w:ascii="Times New Roman" w:hAnsi="Times New Roman" w:cs="Times New Roman"/>
                <w:b/>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tc>
        <w:tc>
          <w:tcPr>
            <w:tcW w:w="669" w:type="dxa"/>
            <w:tcBorders>
              <w:top w:val="single" w:sz="4" w:space="0" w:color="auto"/>
              <w:bottom w:val="single" w:sz="4" w:space="0" w:color="auto"/>
            </w:tcBorders>
          </w:tcPr>
          <w:p w14:paraId="356208B9" w14:textId="77777777" w:rsidR="00FA5E6B" w:rsidRPr="006F6B0C" w:rsidRDefault="004C586F">
            <w:pPr>
              <w:spacing w:line="360" w:lineRule="auto"/>
              <w:rPr>
                <w:rFonts w:ascii="Times New Roman" w:hAnsi="Times New Roman" w:cs="Times New Roman"/>
                <w:b/>
                <w:sz w:val="24"/>
                <w:szCs w:val="24"/>
              </w:rPr>
            </w:pPr>
            <w:r w:rsidRPr="006F6B0C">
              <w:rPr>
                <w:rFonts w:ascii="Times New Roman" w:hAnsi="Times New Roman" w:cs="Times New Roman"/>
                <w:b/>
                <w:sz w:val="24"/>
                <w:szCs w:val="24"/>
              </w:rPr>
              <w:t>Std.</w:t>
            </w:r>
          </w:p>
        </w:tc>
      </w:tr>
      <w:tr w:rsidR="00FA5E6B" w:rsidRPr="006F6B0C" w14:paraId="3EF5828A" w14:textId="77777777">
        <w:tc>
          <w:tcPr>
            <w:tcW w:w="2618" w:type="dxa"/>
            <w:tcBorders>
              <w:top w:val="single" w:sz="4" w:space="0" w:color="auto"/>
            </w:tcBorders>
          </w:tcPr>
          <w:p w14:paraId="3C84BAD0" w14:textId="77777777" w:rsidR="00FA5E6B" w:rsidRPr="006F6B0C" w:rsidRDefault="004C586F">
            <w:pPr>
              <w:spacing w:line="360" w:lineRule="auto"/>
              <w:rPr>
                <w:rFonts w:ascii="Times New Roman" w:hAnsi="Times New Roman" w:cs="Times New Roman"/>
                <w:bCs/>
                <w:sz w:val="24"/>
                <w:szCs w:val="24"/>
              </w:rPr>
            </w:pPr>
            <w:r w:rsidRPr="006F6B0C">
              <w:rPr>
                <w:rFonts w:ascii="Times New Roman" w:hAnsi="Times New Roman" w:cs="Times New Roman"/>
                <w:bCs/>
                <w:sz w:val="24"/>
                <w:szCs w:val="24"/>
              </w:rPr>
              <w:t>Database search skills</w:t>
            </w:r>
          </w:p>
        </w:tc>
        <w:tc>
          <w:tcPr>
            <w:tcW w:w="1084" w:type="dxa"/>
            <w:tcBorders>
              <w:top w:val="single" w:sz="4" w:space="0" w:color="auto"/>
            </w:tcBorders>
          </w:tcPr>
          <w:p w14:paraId="4AFF9800"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6</w:t>
            </w:r>
          </w:p>
        </w:tc>
        <w:tc>
          <w:tcPr>
            <w:tcW w:w="730" w:type="dxa"/>
            <w:tcBorders>
              <w:top w:val="single" w:sz="4" w:space="0" w:color="auto"/>
            </w:tcBorders>
          </w:tcPr>
          <w:p w14:paraId="4A771B0E"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12</w:t>
            </w:r>
          </w:p>
        </w:tc>
        <w:tc>
          <w:tcPr>
            <w:tcW w:w="998" w:type="dxa"/>
            <w:tcBorders>
              <w:top w:val="single" w:sz="4" w:space="0" w:color="auto"/>
            </w:tcBorders>
          </w:tcPr>
          <w:p w14:paraId="5655C6DF"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22</w:t>
            </w:r>
          </w:p>
        </w:tc>
        <w:tc>
          <w:tcPr>
            <w:tcW w:w="669" w:type="dxa"/>
            <w:tcBorders>
              <w:top w:val="single" w:sz="4" w:space="0" w:color="auto"/>
            </w:tcBorders>
          </w:tcPr>
          <w:p w14:paraId="33BB2A3C"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11</w:t>
            </w:r>
          </w:p>
        </w:tc>
        <w:tc>
          <w:tcPr>
            <w:tcW w:w="669" w:type="dxa"/>
            <w:tcBorders>
              <w:top w:val="single" w:sz="4" w:space="0" w:color="auto"/>
            </w:tcBorders>
            <w:vAlign w:val="center"/>
          </w:tcPr>
          <w:p w14:paraId="2E5015BE"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2.25</w:t>
            </w:r>
          </w:p>
        </w:tc>
        <w:tc>
          <w:tcPr>
            <w:tcW w:w="669" w:type="dxa"/>
            <w:tcBorders>
              <w:top w:val="single" w:sz="4" w:space="0" w:color="auto"/>
            </w:tcBorders>
            <w:vAlign w:val="center"/>
          </w:tcPr>
          <w:p w14:paraId="515EDA9C"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0.94</w:t>
            </w:r>
          </w:p>
        </w:tc>
      </w:tr>
      <w:tr w:rsidR="00FA5E6B" w:rsidRPr="006F6B0C" w14:paraId="61DD000A" w14:textId="77777777">
        <w:tc>
          <w:tcPr>
            <w:tcW w:w="2618" w:type="dxa"/>
          </w:tcPr>
          <w:p w14:paraId="6B9DC93D" w14:textId="77777777" w:rsidR="00FA5E6B" w:rsidRPr="006F6B0C" w:rsidRDefault="004C586F">
            <w:pPr>
              <w:spacing w:line="360" w:lineRule="auto"/>
              <w:rPr>
                <w:rFonts w:ascii="Times New Roman" w:hAnsi="Times New Roman" w:cs="Times New Roman"/>
                <w:bCs/>
                <w:sz w:val="24"/>
                <w:szCs w:val="24"/>
              </w:rPr>
            </w:pPr>
            <w:r w:rsidRPr="006F6B0C">
              <w:rPr>
                <w:rFonts w:ascii="Times New Roman" w:hAnsi="Times New Roman" w:cs="Times New Roman"/>
                <w:bCs/>
                <w:sz w:val="24"/>
                <w:szCs w:val="24"/>
              </w:rPr>
              <w:t>Meta-data development skills</w:t>
            </w:r>
          </w:p>
        </w:tc>
        <w:tc>
          <w:tcPr>
            <w:tcW w:w="1084" w:type="dxa"/>
          </w:tcPr>
          <w:p w14:paraId="1F3E1296"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3</w:t>
            </w:r>
          </w:p>
        </w:tc>
        <w:tc>
          <w:tcPr>
            <w:tcW w:w="730" w:type="dxa"/>
          </w:tcPr>
          <w:p w14:paraId="2B5BCDD9"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18</w:t>
            </w:r>
          </w:p>
        </w:tc>
        <w:tc>
          <w:tcPr>
            <w:tcW w:w="998" w:type="dxa"/>
          </w:tcPr>
          <w:p w14:paraId="7BF4D100"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16</w:t>
            </w:r>
          </w:p>
        </w:tc>
        <w:tc>
          <w:tcPr>
            <w:tcW w:w="669" w:type="dxa"/>
          </w:tcPr>
          <w:p w14:paraId="7A02DEAA"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14</w:t>
            </w:r>
          </w:p>
        </w:tc>
        <w:tc>
          <w:tcPr>
            <w:tcW w:w="669" w:type="dxa"/>
            <w:vAlign w:val="center"/>
          </w:tcPr>
          <w:p w14:paraId="5B250EBA"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2.20</w:t>
            </w:r>
          </w:p>
        </w:tc>
        <w:tc>
          <w:tcPr>
            <w:tcW w:w="669" w:type="dxa"/>
            <w:vAlign w:val="center"/>
          </w:tcPr>
          <w:p w14:paraId="37B2CFDC"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0.92</w:t>
            </w:r>
          </w:p>
        </w:tc>
      </w:tr>
      <w:tr w:rsidR="00FA5E6B" w:rsidRPr="006F6B0C" w14:paraId="4CCA439C" w14:textId="77777777">
        <w:tc>
          <w:tcPr>
            <w:tcW w:w="2618" w:type="dxa"/>
          </w:tcPr>
          <w:p w14:paraId="765766A8" w14:textId="77777777" w:rsidR="00FA5E6B" w:rsidRPr="006F6B0C" w:rsidRDefault="004C586F">
            <w:pPr>
              <w:spacing w:line="360" w:lineRule="auto"/>
              <w:rPr>
                <w:rFonts w:ascii="Times New Roman" w:hAnsi="Times New Roman" w:cs="Times New Roman"/>
                <w:bCs/>
                <w:sz w:val="24"/>
                <w:szCs w:val="24"/>
              </w:rPr>
            </w:pPr>
            <w:r w:rsidRPr="006F6B0C">
              <w:rPr>
                <w:rFonts w:ascii="Times New Roman" w:hAnsi="Times New Roman" w:cs="Times New Roman"/>
                <w:bCs/>
                <w:sz w:val="24"/>
                <w:szCs w:val="24"/>
              </w:rPr>
              <w:t>Digitalisation skills</w:t>
            </w:r>
          </w:p>
        </w:tc>
        <w:tc>
          <w:tcPr>
            <w:tcW w:w="1084" w:type="dxa"/>
          </w:tcPr>
          <w:p w14:paraId="120A31DF"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5</w:t>
            </w:r>
          </w:p>
        </w:tc>
        <w:tc>
          <w:tcPr>
            <w:tcW w:w="730" w:type="dxa"/>
          </w:tcPr>
          <w:p w14:paraId="2C27EEC9"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14</w:t>
            </w:r>
          </w:p>
        </w:tc>
        <w:tc>
          <w:tcPr>
            <w:tcW w:w="998" w:type="dxa"/>
          </w:tcPr>
          <w:p w14:paraId="1300666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23</w:t>
            </w:r>
          </w:p>
        </w:tc>
        <w:tc>
          <w:tcPr>
            <w:tcW w:w="669" w:type="dxa"/>
          </w:tcPr>
          <w:p w14:paraId="1164EE36"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9</w:t>
            </w:r>
          </w:p>
        </w:tc>
        <w:tc>
          <w:tcPr>
            <w:tcW w:w="669" w:type="dxa"/>
            <w:vAlign w:val="center"/>
          </w:tcPr>
          <w:p w14:paraId="681345F6"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2.29</w:t>
            </w:r>
          </w:p>
        </w:tc>
        <w:tc>
          <w:tcPr>
            <w:tcW w:w="669" w:type="dxa"/>
            <w:vAlign w:val="center"/>
          </w:tcPr>
          <w:p w14:paraId="466FDEFC"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0.88</w:t>
            </w:r>
          </w:p>
        </w:tc>
      </w:tr>
      <w:tr w:rsidR="00FA5E6B" w:rsidRPr="006F6B0C" w14:paraId="1C3D3673" w14:textId="77777777">
        <w:tc>
          <w:tcPr>
            <w:tcW w:w="2618" w:type="dxa"/>
          </w:tcPr>
          <w:p w14:paraId="06909E41" w14:textId="77777777" w:rsidR="00FA5E6B" w:rsidRPr="006F6B0C" w:rsidRDefault="004C586F">
            <w:pPr>
              <w:spacing w:line="360" w:lineRule="auto"/>
              <w:rPr>
                <w:rFonts w:ascii="Times New Roman" w:hAnsi="Times New Roman" w:cs="Times New Roman"/>
                <w:bCs/>
                <w:sz w:val="24"/>
                <w:szCs w:val="24"/>
              </w:rPr>
            </w:pPr>
            <w:r w:rsidRPr="006F6B0C">
              <w:rPr>
                <w:rFonts w:ascii="Times New Roman" w:hAnsi="Times New Roman" w:cs="Times New Roman"/>
                <w:bCs/>
                <w:sz w:val="24"/>
                <w:szCs w:val="24"/>
              </w:rPr>
              <w:t>Sending and receiving emails skills</w:t>
            </w:r>
          </w:p>
        </w:tc>
        <w:tc>
          <w:tcPr>
            <w:tcW w:w="1084" w:type="dxa"/>
          </w:tcPr>
          <w:p w14:paraId="7513CA46"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7</w:t>
            </w:r>
          </w:p>
        </w:tc>
        <w:tc>
          <w:tcPr>
            <w:tcW w:w="730" w:type="dxa"/>
          </w:tcPr>
          <w:p w14:paraId="1343D52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16</w:t>
            </w:r>
          </w:p>
        </w:tc>
        <w:tc>
          <w:tcPr>
            <w:tcW w:w="998" w:type="dxa"/>
          </w:tcPr>
          <w:p w14:paraId="2C54ADB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19</w:t>
            </w:r>
          </w:p>
        </w:tc>
        <w:tc>
          <w:tcPr>
            <w:tcW w:w="669" w:type="dxa"/>
          </w:tcPr>
          <w:p w14:paraId="4798B43F"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9</w:t>
            </w:r>
          </w:p>
        </w:tc>
        <w:tc>
          <w:tcPr>
            <w:tcW w:w="669" w:type="dxa"/>
            <w:vAlign w:val="center"/>
          </w:tcPr>
          <w:p w14:paraId="4847B744"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2.41</w:t>
            </w:r>
          </w:p>
        </w:tc>
        <w:tc>
          <w:tcPr>
            <w:tcW w:w="669" w:type="dxa"/>
            <w:vAlign w:val="center"/>
          </w:tcPr>
          <w:p w14:paraId="024E9881"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0.94</w:t>
            </w:r>
          </w:p>
        </w:tc>
      </w:tr>
      <w:tr w:rsidR="00FA5E6B" w:rsidRPr="006F6B0C" w14:paraId="50149551" w14:textId="77777777">
        <w:tc>
          <w:tcPr>
            <w:tcW w:w="2618" w:type="dxa"/>
            <w:tcBorders>
              <w:bottom w:val="single" w:sz="4" w:space="0" w:color="auto"/>
            </w:tcBorders>
          </w:tcPr>
          <w:p w14:paraId="735EAC59" w14:textId="77777777" w:rsidR="00FA5E6B" w:rsidRPr="006F6B0C" w:rsidRDefault="004C586F">
            <w:pPr>
              <w:spacing w:line="360" w:lineRule="auto"/>
              <w:rPr>
                <w:rFonts w:ascii="Times New Roman" w:hAnsi="Times New Roman" w:cs="Times New Roman"/>
                <w:bCs/>
                <w:sz w:val="24"/>
                <w:szCs w:val="24"/>
              </w:rPr>
            </w:pPr>
            <w:r w:rsidRPr="006F6B0C">
              <w:rPr>
                <w:rFonts w:ascii="Times New Roman" w:hAnsi="Times New Roman" w:cs="Times New Roman"/>
                <w:bCs/>
                <w:sz w:val="24"/>
                <w:szCs w:val="24"/>
              </w:rPr>
              <w:t>Social media skills</w:t>
            </w:r>
          </w:p>
        </w:tc>
        <w:tc>
          <w:tcPr>
            <w:tcW w:w="1084" w:type="dxa"/>
            <w:tcBorders>
              <w:bottom w:val="single" w:sz="4" w:space="0" w:color="auto"/>
            </w:tcBorders>
          </w:tcPr>
          <w:p w14:paraId="1206C99F"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26</w:t>
            </w:r>
          </w:p>
        </w:tc>
        <w:tc>
          <w:tcPr>
            <w:tcW w:w="730" w:type="dxa"/>
            <w:tcBorders>
              <w:bottom w:val="single" w:sz="4" w:space="0" w:color="auto"/>
            </w:tcBorders>
          </w:tcPr>
          <w:p w14:paraId="297192D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17</w:t>
            </w:r>
          </w:p>
        </w:tc>
        <w:tc>
          <w:tcPr>
            <w:tcW w:w="998" w:type="dxa"/>
            <w:tcBorders>
              <w:bottom w:val="single" w:sz="4" w:space="0" w:color="auto"/>
            </w:tcBorders>
          </w:tcPr>
          <w:p w14:paraId="051AC67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7</w:t>
            </w:r>
          </w:p>
        </w:tc>
        <w:tc>
          <w:tcPr>
            <w:tcW w:w="669" w:type="dxa"/>
            <w:tcBorders>
              <w:bottom w:val="single" w:sz="4" w:space="0" w:color="auto"/>
            </w:tcBorders>
          </w:tcPr>
          <w:p w14:paraId="6F3C1825"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bCs/>
                <w:sz w:val="24"/>
                <w:szCs w:val="24"/>
              </w:rPr>
              <w:t>1</w:t>
            </w:r>
          </w:p>
        </w:tc>
        <w:tc>
          <w:tcPr>
            <w:tcW w:w="669" w:type="dxa"/>
            <w:tcBorders>
              <w:bottom w:val="single" w:sz="4" w:space="0" w:color="auto"/>
            </w:tcBorders>
            <w:vAlign w:val="center"/>
          </w:tcPr>
          <w:p w14:paraId="6F7732A2"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3.33</w:t>
            </w:r>
          </w:p>
        </w:tc>
        <w:tc>
          <w:tcPr>
            <w:tcW w:w="669" w:type="dxa"/>
            <w:tcBorders>
              <w:bottom w:val="single" w:sz="4" w:space="0" w:color="auto"/>
            </w:tcBorders>
            <w:vAlign w:val="center"/>
          </w:tcPr>
          <w:p w14:paraId="4ADE5FF8" w14:textId="77777777" w:rsidR="00FA5E6B" w:rsidRPr="006F6B0C" w:rsidRDefault="004C586F">
            <w:pPr>
              <w:spacing w:line="360" w:lineRule="auto"/>
              <w:jc w:val="right"/>
              <w:rPr>
                <w:rFonts w:ascii="Times New Roman" w:hAnsi="Times New Roman" w:cs="Times New Roman"/>
                <w:bCs/>
                <w:sz w:val="24"/>
                <w:szCs w:val="24"/>
              </w:rPr>
            </w:pPr>
            <w:r w:rsidRPr="006F6B0C">
              <w:rPr>
                <w:rFonts w:ascii="Times New Roman" w:hAnsi="Times New Roman" w:cs="Times New Roman"/>
                <w:color w:val="010205"/>
                <w:sz w:val="24"/>
                <w:szCs w:val="24"/>
              </w:rPr>
              <w:t>0.79</w:t>
            </w:r>
          </w:p>
        </w:tc>
      </w:tr>
      <w:tr w:rsidR="00FA5E6B" w:rsidRPr="006F6B0C" w14:paraId="796227AA" w14:textId="77777777">
        <w:tc>
          <w:tcPr>
            <w:tcW w:w="6099" w:type="dxa"/>
            <w:gridSpan w:val="5"/>
            <w:tcBorders>
              <w:top w:val="single" w:sz="4" w:space="0" w:color="auto"/>
              <w:bottom w:val="single" w:sz="4" w:space="0" w:color="auto"/>
            </w:tcBorders>
          </w:tcPr>
          <w:p w14:paraId="40B137AA" w14:textId="77777777" w:rsidR="00FA5E6B" w:rsidRPr="006F6B0C" w:rsidRDefault="004C586F">
            <w:pPr>
              <w:spacing w:line="360" w:lineRule="auto"/>
              <w:jc w:val="both"/>
              <w:rPr>
                <w:rFonts w:ascii="Times New Roman" w:hAnsi="Times New Roman" w:cs="Times New Roman"/>
                <w:bCs/>
                <w:sz w:val="24"/>
                <w:szCs w:val="24"/>
              </w:rPr>
            </w:pPr>
            <w:r w:rsidRPr="006F6B0C">
              <w:rPr>
                <w:rFonts w:ascii="Times New Roman" w:hAnsi="Times New Roman" w:cs="Times New Roman"/>
                <w:bCs/>
                <w:sz w:val="24"/>
                <w:szCs w:val="24"/>
              </w:rPr>
              <w:lastRenderedPageBreak/>
              <w:t>Aggregate Mean/Std.</w:t>
            </w:r>
          </w:p>
        </w:tc>
        <w:tc>
          <w:tcPr>
            <w:tcW w:w="669" w:type="dxa"/>
            <w:tcBorders>
              <w:top w:val="single" w:sz="4" w:space="0" w:color="auto"/>
              <w:bottom w:val="single" w:sz="4" w:space="0" w:color="auto"/>
            </w:tcBorders>
            <w:vAlign w:val="center"/>
          </w:tcPr>
          <w:p w14:paraId="69B15C88" w14:textId="77777777" w:rsidR="00FA5E6B" w:rsidRPr="006F6B0C" w:rsidRDefault="004C586F">
            <w:pPr>
              <w:spacing w:line="360" w:lineRule="auto"/>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2.50</w:t>
            </w:r>
          </w:p>
        </w:tc>
        <w:tc>
          <w:tcPr>
            <w:tcW w:w="669" w:type="dxa"/>
            <w:tcBorders>
              <w:top w:val="single" w:sz="4" w:space="0" w:color="auto"/>
              <w:bottom w:val="single" w:sz="4" w:space="0" w:color="auto"/>
            </w:tcBorders>
            <w:vAlign w:val="center"/>
          </w:tcPr>
          <w:p w14:paraId="5437BD33" w14:textId="77777777" w:rsidR="00FA5E6B" w:rsidRPr="006F6B0C" w:rsidRDefault="004C586F">
            <w:pPr>
              <w:spacing w:line="360" w:lineRule="auto"/>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0.89</w:t>
            </w:r>
          </w:p>
        </w:tc>
      </w:tr>
      <w:tr w:rsidR="00FA5E6B" w:rsidRPr="006F6B0C" w14:paraId="191D75B3" w14:textId="77777777">
        <w:tc>
          <w:tcPr>
            <w:tcW w:w="6099" w:type="dxa"/>
            <w:gridSpan w:val="5"/>
            <w:tcBorders>
              <w:top w:val="single" w:sz="4" w:space="0" w:color="auto"/>
            </w:tcBorders>
          </w:tcPr>
          <w:p w14:paraId="4598924E" w14:textId="77777777" w:rsidR="00FA5E6B" w:rsidRPr="006F6B0C" w:rsidRDefault="004C586F">
            <w:pPr>
              <w:spacing w:line="360" w:lineRule="auto"/>
              <w:jc w:val="both"/>
              <w:rPr>
                <w:rFonts w:ascii="Times New Roman" w:hAnsi="Times New Roman" w:cs="Times New Roman"/>
                <w:bCs/>
                <w:sz w:val="24"/>
                <w:szCs w:val="24"/>
              </w:rPr>
            </w:pPr>
            <w:r w:rsidRPr="006F6B0C">
              <w:rPr>
                <w:rFonts w:ascii="Times New Roman" w:hAnsi="Times New Roman" w:cs="Times New Roman"/>
                <w:bCs/>
                <w:sz w:val="24"/>
                <w:szCs w:val="24"/>
              </w:rPr>
              <w:t>Criterion Mean</w:t>
            </w:r>
          </w:p>
        </w:tc>
        <w:tc>
          <w:tcPr>
            <w:tcW w:w="669" w:type="dxa"/>
            <w:tcBorders>
              <w:top w:val="single" w:sz="4" w:space="0" w:color="auto"/>
            </w:tcBorders>
            <w:vAlign w:val="center"/>
          </w:tcPr>
          <w:p w14:paraId="09318365" w14:textId="77777777" w:rsidR="00FA5E6B" w:rsidRPr="006F6B0C" w:rsidRDefault="004C586F">
            <w:pPr>
              <w:spacing w:line="360" w:lineRule="auto"/>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2.50</w:t>
            </w:r>
          </w:p>
        </w:tc>
        <w:tc>
          <w:tcPr>
            <w:tcW w:w="669" w:type="dxa"/>
            <w:tcBorders>
              <w:top w:val="single" w:sz="4" w:space="0" w:color="auto"/>
            </w:tcBorders>
            <w:vAlign w:val="center"/>
          </w:tcPr>
          <w:p w14:paraId="4B8A70FD" w14:textId="77777777" w:rsidR="00FA5E6B" w:rsidRPr="006F6B0C" w:rsidRDefault="00FA5E6B">
            <w:pPr>
              <w:spacing w:line="360" w:lineRule="auto"/>
              <w:jc w:val="right"/>
              <w:rPr>
                <w:rFonts w:ascii="Times New Roman" w:hAnsi="Times New Roman" w:cs="Times New Roman"/>
                <w:color w:val="010205"/>
                <w:sz w:val="24"/>
                <w:szCs w:val="24"/>
              </w:rPr>
            </w:pPr>
          </w:p>
        </w:tc>
      </w:tr>
    </w:tbl>
    <w:p w14:paraId="1A391B10" w14:textId="77777777" w:rsidR="00FA5E6B" w:rsidRPr="006F6B0C" w:rsidRDefault="00FA5E6B">
      <w:pPr>
        <w:spacing w:line="360" w:lineRule="auto"/>
        <w:jc w:val="both"/>
        <w:rPr>
          <w:rFonts w:ascii="Times New Roman" w:hAnsi="Times New Roman" w:cs="Times New Roman"/>
          <w:b/>
          <w:bCs/>
          <w:sz w:val="24"/>
          <w:szCs w:val="24"/>
        </w:rPr>
      </w:pPr>
    </w:p>
    <w:p w14:paraId="1BCFEFC9" w14:textId="77777777" w:rsidR="00FA5E6B" w:rsidRPr="006F6B0C" w:rsidRDefault="004C586F" w:rsidP="00505FF6">
      <w:pPr>
        <w:spacing w:line="360" w:lineRule="auto"/>
        <w:ind w:firstLine="720"/>
        <w:jc w:val="both"/>
        <w:rPr>
          <w:rFonts w:ascii="Times New Roman" w:hAnsi="Times New Roman" w:cs="Times New Roman"/>
          <w:sz w:val="24"/>
          <w:szCs w:val="24"/>
        </w:rPr>
      </w:pPr>
      <w:r w:rsidRPr="006F6B0C">
        <w:rPr>
          <w:rFonts w:ascii="Times New Roman" w:hAnsi="Times New Roman" w:cs="Times New Roman"/>
          <w:sz w:val="24"/>
          <w:szCs w:val="24"/>
        </w:rPr>
        <w:t>The data presented in Table 3 revealed the current levels of digital literacy skills possessed by undergraduate students at Dennis Osadebay University. Examining the respo</w:t>
      </w:r>
      <w:r w:rsidR="00505FF6" w:rsidRPr="006F6B0C">
        <w:rPr>
          <w:rFonts w:ascii="Times New Roman" w:hAnsi="Times New Roman" w:cs="Times New Roman"/>
          <w:sz w:val="24"/>
          <w:szCs w:val="24"/>
        </w:rPr>
        <w:t xml:space="preserve">nses across various skill areas </w:t>
      </w:r>
      <w:r w:rsidRPr="006F6B0C">
        <w:rPr>
          <w:rFonts w:ascii="Times New Roman" w:hAnsi="Times New Roman" w:cs="Times New Roman"/>
          <w:sz w:val="24"/>
          <w:szCs w:val="24"/>
        </w:rPr>
        <w:t>such as database search, metadata development, digitalisation, email communicatio</w:t>
      </w:r>
      <w:r w:rsidR="00505FF6" w:rsidRPr="006F6B0C">
        <w:rPr>
          <w:rFonts w:ascii="Times New Roman" w:hAnsi="Times New Roman" w:cs="Times New Roman"/>
          <w:sz w:val="24"/>
          <w:szCs w:val="24"/>
        </w:rPr>
        <w:t xml:space="preserve">n, and social media usage </w:t>
      </w:r>
      <w:r w:rsidRPr="006F6B0C">
        <w:rPr>
          <w:rFonts w:ascii="Times New Roman" w:hAnsi="Times New Roman" w:cs="Times New Roman"/>
          <w:sz w:val="24"/>
          <w:szCs w:val="24"/>
        </w:rPr>
        <w:t>shows variations in the students' proficiencies. The aggregate mean score of 2.50 is exactly equal to the criterion mean of 2.50, which suggests that, overall, the students possess a moderate level of digital literacy skills.</w:t>
      </w:r>
    </w:p>
    <w:p w14:paraId="132EA3A0" w14:textId="77777777" w:rsidR="00FA5E6B" w:rsidRPr="006F6B0C" w:rsidRDefault="004C586F">
      <w:pPr>
        <w:spacing w:line="360" w:lineRule="auto"/>
        <w:jc w:val="both"/>
        <w:rPr>
          <w:rFonts w:ascii="Times New Roman" w:eastAsia="Times New Roman" w:hAnsi="Times New Roman" w:cs="Times New Roman"/>
          <w:b/>
          <w:bCs/>
          <w:sz w:val="24"/>
          <w:szCs w:val="24"/>
        </w:rPr>
      </w:pPr>
      <w:r w:rsidRPr="006F6B0C">
        <w:rPr>
          <w:rFonts w:ascii="Times New Roman" w:hAnsi="Times New Roman" w:cs="Times New Roman"/>
          <w:b/>
          <w:bCs/>
          <w:sz w:val="24"/>
          <w:szCs w:val="24"/>
        </w:rPr>
        <w:t xml:space="preserve">Table 4: Challenges Undergraduate Students Face in Acquiring </w:t>
      </w:r>
      <w:r w:rsidRPr="006F6B0C">
        <w:rPr>
          <w:rFonts w:ascii="Times New Roman" w:eastAsia="Times New Roman" w:hAnsi="Times New Roman" w:cs="Times New Roman"/>
          <w:b/>
          <w:bCs/>
          <w:sz w:val="24"/>
          <w:szCs w:val="24"/>
        </w:rPr>
        <w:t>Digital Literacy Skills.</w:t>
      </w:r>
    </w:p>
    <w:p w14:paraId="7F47EE0A" w14:textId="77777777" w:rsidR="00FA5E6B" w:rsidRPr="006F6B0C" w:rsidRDefault="00FA5E6B">
      <w:pPr>
        <w:spacing w:line="360" w:lineRule="auto"/>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
        <w:gridCol w:w="567"/>
        <w:gridCol w:w="567"/>
        <w:gridCol w:w="709"/>
        <w:gridCol w:w="709"/>
        <w:gridCol w:w="636"/>
      </w:tblGrid>
      <w:tr w:rsidR="00FA5E6B" w:rsidRPr="006F6B0C" w14:paraId="406693CD" w14:textId="77777777">
        <w:tc>
          <w:tcPr>
            <w:tcW w:w="4390" w:type="dxa"/>
            <w:tcBorders>
              <w:top w:val="single" w:sz="4" w:space="0" w:color="auto"/>
              <w:bottom w:val="single" w:sz="4" w:space="0" w:color="auto"/>
            </w:tcBorders>
          </w:tcPr>
          <w:p w14:paraId="0583E953"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ITEMS</w:t>
            </w:r>
          </w:p>
        </w:tc>
        <w:tc>
          <w:tcPr>
            <w:tcW w:w="563" w:type="dxa"/>
            <w:tcBorders>
              <w:top w:val="single" w:sz="4" w:space="0" w:color="auto"/>
              <w:bottom w:val="single" w:sz="4" w:space="0" w:color="auto"/>
            </w:tcBorders>
          </w:tcPr>
          <w:p w14:paraId="309ADA03"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SD</w:t>
            </w:r>
          </w:p>
        </w:tc>
        <w:tc>
          <w:tcPr>
            <w:tcW w:w="567" w:type="dxa"/>
            <w:tcBorders>
              <w:top w:val="single" w:sz="4" w:space="0" w:color="auto"/>
              <w:bottom w:val="single" w:sz="4" w:space="0" w:color="auto"/>
            </w:tcBorders>
          </w:tcPr>
          <w:p w14:paraId="3FAA7C28"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D</w:t>
            </w:r>
          </w:p>
        </w:tc>
        <w:tc>
          <w:tcPr>
            <w:tcW w:w="567" w:type="dxa"/>
            <w:tcBorders>
              <w:top w:val="single" w:sz="4" w:space="0" w:color="auto"/>
              <w:bottom w:val="single" w:sz="4" w:space="0" w:color="auto"/>
            </w:tcBorders>
          </w:tcPr>
          <w:p w14:paraId="0A69E6EC"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A</w:t>
            </w:r>
          </w:p>
        </w:tc>
        <w:tc>
          <w:tcPr>
            <w:tcW w:w="709" w:type="dxa"/>
            <w:tcBorders>
              <w:top w:val="single" w:sz="4" w:space="0" w:color="auto"/>
              <w:bottom w:val="single" w:sz="4" w:space="0" w:color="auto"/>
            </w:tcBorders>
          </w:tcPr>
          <w:p w14:paraId="1BCC9DCA"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SA</w:t>
            </w:r>
          </w:p>
        </w:tc>
        <w:tc>
          <w:tcPr>
            <w:tcW w:w="709" w:type="dxa"/>
            <w:tcBorders>
              <w:top w:val="single" w:sz="4" w:space="0" w:color="auto"/>
              <w:bottom w:val="single" w:sz="4" w:space="0" w:color="auto"/>
            </w:tcBorders>
          </w:tcPr>
          <w:p w14:paraId="13CE0EC0" w14:textId="77777777" w:rsidR="00FA5E6B" w:rsidRPr="006F6B0C" w:rsidRDefault="00000000">
            <w:pPr>
              <w:pStyle w:val="ListParagraph"/>
              <w:spacing w:line="360" w:lineRule="auto"/>
              <w:ind w:left="0"/>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tc>
        <w:tc>
          <w:tcPr>
            <w:tcW w:w="570" w:type="dxa"/>
            <w:tcBorders>
              <w:top w:val="single" w:sz="4" w:space="0" w:color="auto"/>
              <w:bottom w:val="single" w:sz="4" w:space="0" w:color="auto"/>
            </w:tcBorders>
          </w:tcPr>
          <w:p w14:paraId="63189059"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sz w:val="24"/>
                <w:szCs w:val="24"/>
              </w:rPr>
              <w:t>Std.</w:t>
            </w:r>
          </w:p>
        </w:tc>
      </w:tr>
      <w:tr w:rsidR="00FA5E6B" w:rsidRPr="006F6B0C" w14:paraId="426FE78A" w14:textId="77777777">
        <w:tc>
          <w:tcPr>
            <w:tcW w:w="4390" w:type="dxa"/>
            <w:tcBorders>
              <w:top w:val="single" w:sz="4" w:space="0" w:color="auto"/>
            </w:tcBorders>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36"/>
            </w:tblGrid>
            <w:tr w:rsidR="00FA5E6B" w:rsidRPr="006F6B0C" w14:paraId="6BD40AC6" w14:textId="77777777">
              <w:trPr>
                <w:trHeight w:val="247"/>
              </w:trPr>
              <w:tc>
                <w:tcPr>
                  <w:tcW w:w="236" w:type="dxa"/>
                  <w:tcBorders>
                    <w:top w:val="none" w:sz="6" w:space="0" w:color="auto"/>
                    <w:bottom w:val="none" w:sz="6" w:space="0" w:color="auto"/>
                  </w:tcBorders>
                </w:tcPr>
                <w:p w14:paraId="3A4107C6" w14:textId="77777777" w:rsidR="00FA5E6B" w:rsidRPr="006F6B0C" w:rsidRDefault="00FA5E6B">
                  <w:pPr>
                    <w:spacing w:line="360" w:lineRule="auto"/>
                    <w:rPr>
                      <w:rFonts w:ascii="Times New Roman" w:hAnsi="Times New Roman" w:cs="Times New Roman"/>
                      <w:sz w:val="24"/>
                      <w:szCs w:val="24"/>
                    </w:rPr>
                  </w:pPr>
                </w:p>
              </w:tc>
            </w:tr>
          </w:tbl>
          <w:p w14:paraId="40AE3196"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Limited access to digital resources</w:t>
            </w:r>
          </w:p>
        </w:tc>
        <w:tc>
          <w:tcPr>
            <w:tcW w:w="563" w:type="dxa"/>
            <w:tcBorders>
              <w:top w:val="single" w:sz="4" w:space="0" w:color="auto"/>
            </w:tcBorders>
          </w:tcPr>
          <w:p w14:paraId="75B11172"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8</w:t>
            </w:r>
          </w:p>
        </w:tc>
        <w:tc>
          <w:tcPr>
            <w:tcW w:w="567" w:type="dxa"/>
            <w:tcBorders>
              <w:top w:val="single" w:sz="4" w:space="0" w:color="auto"/>
            </w:tcBorders>
          </w:tcPr>
          <w:p w14:paraId="24F726F8"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6</w:t>
            </w:r>
          </w:p>
        </w:tc>
        <w:tc>
          <w:tcPr>
            <w:tcW w:w="567" w:type="dxa"/>
            <w:tcBorders>
              <w:top w:val="single" w:sz="4" w:space="0" w:color="auto"/>
            </w:tcBorders>
          </w:tcPr>
          <w:p w14:paraId="389EC8F1"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18</w:t>
            </w:r>
          </w:p>
        </w:tc>
        <w:tc>
          <w:tcPr>
            <w:tcW w:w="709" w:type="dxa"/>
            <w:tcBorders>
              <w:top w:val="single" w:sz="4" w:space="0" w:color="auto"/>
            </w:tcBorders>
          </w:tcPr>
          <w:p w14:paraId="3E8F9F0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19</w:t>
            </w:r>
          </w:p>
        </w:tc>
        <w:tc>
          <w:tcPr>
            <w:tcW w:w="709" w:type="dxa"/>
            <w:tcBorders>
              <w:top w:val="single" w:sz="4" w:space="0" w:color="auto"/>
            </w:tcBorders>
            <w:vAlign w:val="center"/>
          </w:tcPr>
          <w:p w14:paraId="26D431A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2.06</w:t>
            </w:r>
          </w:p>
        </w:tc>
        <w:tc>
          <w:tcPr>
            <w:tcW w:w="570" w:type="dxa"/>
            <w:tcBorders>
              <w:top w:val="single" w:sz="4" w:space="0" w:color="auto"/>
            </w:tcBorders>
            <w:vAlign w:val="center"/>
          </w:tcPr>
          <w:p w14:paraId="358174F0"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1.07</w:t>
            </w:r>
          </w:p>
        </w:tc>
      </w:tr>
      <w:tr w:rsidR="00FA5E6B" w:rsidRPr="006F6B0C" w14:paraId="144F3DC2" w14:textId="77777777">
        <w:tc>
          <w:tcPr>
            <w:tcW w:w="4390" w:type="dxa"/>
          </w:tcPr>
          <w:p w14:paraId="5A12767E"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Inadequate information literacy skills</w:t>
            </w:r>
          </w:p>
        </w:tc>
        <w:tc>
          <w:tcPr>
            <w:tcW w:w="563" w:type="dxa"/>
          </w:tcPr>
          <w:p w14:paraId="1158A60E"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w:t>
            </w:r>
          </w:p>
        </w:tc>
        <w:tc>
          <w:tcPr>
            <w:tcW w:w="567" w:type="dxa"/>
          </w:tcPr>
          <w:p w14:paraId="10E7183E"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15</w:t>
            </w:r>
          </w:p>
        </w:tc>
        <w:tc>
          <w:tcPr>
            <w:tcW w:w="567" w:type="dxa"/>
          </w:tcPr>
          <w:p w14:paraId="0C99BBFF"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23</w:t>
            </w:r>
          </w:p>
        </w:tc>
        <w:tc>
          <w:tcPr>
            <w:tcW w:w="709" w:type="dxa"/>
          </w:tcPr>
          <w:p w14:paraId="00CDE55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11</w:t>
            </w:r>
          </w:p>
        </w:tc>
        <w:tc>
          <w:tcPr>
            <w:tcW w:w="709" w:type="dxa"/>
            <w:vAlign w:val="center"/>
          </w:tcPr>
          <w:p w14:paraId="75E38A20"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2.16</w:t>
            </w:r>
          </w:p>
        </w:tc>
        <w:tc>
          <w:tcPr>
            <w:tcW w:w="570" w:type="dxa"/>
            <w:vAlign w:val="center"/>
          </w:tcPr>
          <w:p w14:paraId="3536D9D3"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0.81</w:t>
            </w:r>
          </w:p>
        </w:tc>
      </w:tr>
      <w:tr w:rsidR="00FA5E6B" w:rsidRPr="006F6B0C" w14:paraId="53E64F1F" w14:textId="77777777">
        <w:tc>
          <w:tcPr>
            <w:tcW w:w="4390" w:type="dxa"/>
          </w:tcPr>
          <w:p w14:paraId="3F01079B"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Insufficient training and support</w:t>
            </w:r>
          </w:p>
        </w:tc>
        <w:tc>
          <w:tcPr>
            <w:tcW w:w="563" w:type="dxa"/>
          </w:tcPr>
          <w:p w14:paraId="258D8DC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w:t>
            </w:r>
          </w:p>
        </w:tc>
        <w:tc>
          <w:tcPr>
            <w:tcW w:w="567" w:type="dxa"/>
          </w:tcPr>
          <w:p w14:paraId="4284647B"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10</w:t>
            </w:r>
          </w:p>
        </w:tc>
        <w:tc>
          <w:tcPr>
            <w:tcW w:w="567" w:type="dxa"/>
          </w:tcPr>
          <w:p w14:paraId="6C0F9913"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25</w:t>
            </w:r>
          </w:p>
        </w:tc>
        <w:tc>
          <w:tcPr>
            <w:tcW w:w="709" w:type="dxa"/>
          </w:tcPr>
          <w:p w14:paraId="2D70584D"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14</w:t>
            </w:r>
          </w:p>
        </w:tc>
        <w:tc>
          <w:tcPr>
            <w:tcW w:w="709" w:type="dxa"/>
            <w:vAlign w:val="center"/>
          </w:tcPr>
          <w:p w14:paraId="49F8591D"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2.00</w:t>
            </w:r>
          </w:p>
        </w:tc>
        <w:tc>
          <w:tcPr>
            <w:tcW w:w="570" w:type="dxa"/>
            <w:vAlign w:val="center"/>
          </w:tcPr>
          <w:p w14:paraId="577F90E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0.80</w:t>
            </w:r>
          </w:p>
        </w:tc>
      </w:tr>
      <w:tr w:rsidR="00FA5E6B" w:rsidRPr="006F6B0C" w14:paraId="22EEDEEE" w14:textId="77777777">
        <w:tc>
          <w:tcPr>
            <w:tcW w:w="4390" w:type="dxa"/>
          </w:tcPr>
          <w:p w14:paraId="45763F5D"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Inconsistent power supply</w:t>
            </w:r>
          </w:p>
        </w:tc>
        <w:tc>
          <w:tcPr>
            <w:tcW w:w="563" w:type="dxa"/>
          </w:tcPr>
          <w:p w14:paraId="6469AA39"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9</w:t>
            </w:r>
          </w:p>
        </w:tc>
        <w:tc>
          <w:tcPr>
            <w:tcW w:w="567" w:type="dxa"/>
          </w:tcPr>
          <w:p w14:paraId="44B44BEF"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13</w:t>
            </w:r>
          </w:p>
        </w:tc>
        <w:tc>
          <w:tcPr>
            <w:tcW w:w="567" w:type="dxa"/>
          </w:tcPr>
          <w:p w14:paraId="53D1F9FF"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15</w:t>
            </w:r>
          </w:p>
        </w:tc>
        <w:tc>
          <w:tcPr>
            <w:tcW w:w="709" w:type="dxa"/>
          </w:tcPr>
          <w:p w14:paraId="3970943D"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14</w:t>
            </w:r>
          </w:p>
        </w:tc>
        <w:tc>
          <w:tcPr>
            <w:tcW w:w="709" w:type="dxa"/>
            <w:vAlign w:val="center"/>
          </w:tcPr>
          <w:p w14:paraId="2EF3B18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2.33</w:t>
            </w:r>
          </w:p>
        </w:tc>
        <w:tc>
          <w:tcPr>
            <w:tcW w:w="570" w:type="dxa"/>
            <w:vAlign w:val="center"/>
          </w:tcPr>
          <w:p w14:paraId="55EDE81F"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1.07</w:t>
            </w:r>
          </w:p>
        </w:tc>
      </w:tr>
      <w:tr w:rsidR="00FA5E6B" w:rsidRPr="006F6B0C" w14:paraId="02EFAFB1" w14:textId="77777777">
        <w:tc>
          <w:tcPr>
            <w:tcW w:w="4390" w:type="dxa"/>
          </w:tcPr>
          <w:p w14:paraId="40EB18FE"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Limited availability of up-to-date hardware and software</w:t>
            </w:r>
          </w:p>
        </w:tc>
        <w:tc>
          <w:tcPr>
            <w:tcW w:w="563" w:type="dxa"/>
          </w:tcPr>
          <w:p w14:paraId="162A9B8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3</w:t>
            </w:r>
          </w:p>
        </w:tc>
        <w:tc>
          <w:tcPr>
            <w:tcW w:w="567" w:type="dxa"/>
          </w:tcPr>
          <w:p w14:paraId="7B9D0F9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10</w:t>
            </w:r>
          </w:p>
        </w:tc>
        <w:tc>
          <w:tcPr>
            <w:tcW w:w="567" w:type="dxa"/>
          </w:tcPr>
          <w:p w14:paraId="536BD84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20</w:t>
            </w:r>
          </w:p>
        </w:tc>
        <w:tc>
          <w:tcPr>
            <w:tcW w:w="709" w:type="dxa"/>
          </w:tcPr>
          <w:p w14:paraId="6B547C65"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18</w:t>
            </w:r>
          </w:p>
        </w:tc>
        <w:tc>
          <w:tcPr>
            <w:tcW w:w="709" w:type="dxa"/>
            <w:vAlign w:val="center"/>
          </w:tcPr>
          <w:p w14:paraId="23352AC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1.96</w:t>
            </w:r>
          </w:p>
        </w:tc>
        <w:tc>
          <w:tcPr>
            <w:tcW w:w="570" w:type="dxa"/>
            <w:vAlign w:val="center"/>
          </w:tcPr>
          <w:p w14:paraId="49B6BFFA"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0.89</w:t>
            </w:r>
          </w:p>
        </w:tc>
      </w:tr>
      <w:tr w:rsidR="00FA5E6B" w:rsidRPr="006F6B0C" w14:paraId="3DD552E8" w14:textId="77777777">
        <w:tc>
          <w:tcPr>
            <w:tcW w:w="4390" w:type="dxa"/>
            <w:tcBorders>
              <w:bottom w:val="single" w:sz="4" w:space="0" w:color="auto"/>
            </w:tcBorders>
          </w:tcPr>
          <w:p w14:paraId="4033D2EC"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Economic constraints e.g (financial burden)</w:t>
            </w:r>
          </w:p>
        </w:tc>
        <w:tc>
          <w:tcPr>
            <w:tcW w:w="563" w:type="dxa"/>
            <w:tcBorders>
              <w:bottom w:val="single" w:sz="4" w:space="0" w:color="auto"/>
            </w:tcBorders>
          </w:tcPr>
          <w:p w14:paraId="1F2F755D"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7</w:t>
            </w:r>
          </w:p>
        </w:tc>
        <w:tc>
          <w:tcPr>
            <w:tcW w:w="567" w:type="dxa"/>
            <w:tcBorders>
              <w:bottom w:val="single" w:sz="4" w:space="0" w:color="auto"/>
            </w:tcBorders>
          </w:tcPr>
          <w:p w14:paraId="7AB64227"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w:t>
            </w:r>
          </w:p>
        </w:tc>
        <w:tc>
          <w:tcPr>
            <w:tcW w:w="567" w:type="dxa"/>
            <w:tcBorders>
              <w:bottom w:val="single" w:sz="4" w:space="0" w:color="auto"/>
            </w:tcBorders>
          </w:tcPr>
          <w:p w14:paraId="3D14DC69"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19</w:t>
            </w:r>
          </w:p>
        </w:tc>
        <w:tc>
          <w:tcPr>
            <w:tcW w:w="709" w:type="dxa"/>
            <w:tcBorders>
              <w:bottom w:val="single" w:sz="4" w:space="0" w:color="auto"/>
            </w:tcBorders>
          </w:tcPr>
          <w:p w14:paraId="645886ED"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24</w:t>
            </w:r>
          </w:p>
        </w:tc>
        <w:tc>
          <w:tcPr>
            <w:tcW w:w="709" w:type="dxa"/>
            <w:tcBorders>
              <w:bottom w:val="single" w:sz="4" w:space="0" w:color="auto"/>
            </w:tcBorders>
            <w:vAlign w:val="center"/>
          </w:tcPr>
          <w:p w14:paraId="333D29AF"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1.82</w:t>
            </w:r>
          </w:p>
        </w:tc>
        <w:tc>
          <w:tcPr>
            <w:tcW w:w="570" w:type="dxa"/>
            <w:tcBorders>
              <w:bottom w:val="single" w:sz="4" w:space="0" w:color="auto"/>
            </w:tcBorders>
            <w:vAlign w:val="center"/>
          </w:tcPr>
          <w:p w14:paraId="4C74F48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1.01</w:t>
            </w:r>
          </w:p>
        </w:tc>
      </w:tr>
      <w:tr w:rsidR="00FA5E6B" w:rsidRPr="006F6B0C" w14:paraId="195A3001" w14:textId="77777777">
        <w:tc>
          <w:tcPr>
            <w:tcW w:w="6796" w:type="dxa"/>
            <w:gridSpan w:val="5"/>
            <w:tcBorders>
              <w:top w:val="single" w:sz="4" w:space="0" w:color="auto"/>
              <w:bottom w:val="single" w:sz="4" w:space="0" w:color="auto"/>
            </w:tcBorders>
          </w:tcPr>
          <w:p w14:paraId="3BDA57C9" w14:textId="77777777" w:rsidR="00FA5E6B" w:rsidRPr="006F6B0C" w:rsidRDefault="004C586F">
            <w:pPr>
              <w:pStyle w:val="ListParagraph"/>
              <w:spacing w:line="360" w:lineRule="auto"/>
              <w:ind w:left="0"/>
              <w:jc w:val="both"/>
              <w:rPr>
                <w:rFonts w:ascii="Times New Roman" w:hAnsi="Times New Roman" w:cs="Times New Roman"/>
                <w:sz w:val="24"/>
                <w:szCs w:val="24"/>
              </w:rPr>
            </w:pPr>
            <w:r w:rsidRPr="006F6B0C">
              <w:rPr>
                <w:rFonts w:ascii="Times New Roman" w:hAnsi="Times New Roman" w:cs="Times New Roman"/>
                <w:sz w:val="24"/>
                <w:szCs w:val="24"/>
              </w:rPr>
              <w:t>Aggregate Mean/Std.</w:t>
            </w:r>
          </w:p>
        </w:tc>
        <w:tc>
          <w:tcPr>
            <w:tcW w:w="709" w:type="dxa"/>
            <w:tcBorders>
              <w:top w:val="single" w:sz="4" w:space="0" w:color="auto"/>
              <w:bottom w:val="single" w:sz="4" w:space="0" w:color="auto"/>
            </w:tcBorders>
            <w:vAlign w:val="center"/>
          </w:tcPr>
          <w:p w14:paraId="42669B20"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2.06</w:t>
            </w:r>
          </w:p>
        </w:tc>
        <w:tc>
          <w:tcPr>
            <w:tcW w:w="570" w:type="dxa"/>
            <w:tcBorders>
              <w:top w:val="single" w:sz="4" w:space="0" w:color="auto"/>
              <w:bottom w:val="single" w:sz="4" w:space="0" w:color="auto"/>
            </w:tcBorders>
            <w:vAlign w:val="center"/>
          </w:tcPr>
          <w:p w14:paraId="755A040C"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1.01</w:t>
            </w:r>
          </w:p>
        </w:tc>
      </w:tr>
      <w:tr w:rsidR="00FA5E6B" w:rsidRPr="006F6B0C" w14:paraId="4ABBA81E" w14:textId="77777777">
        <w:tc>
          <w:tcPr>
            <w:tcW w:w="6796" w:type="dxa"/>
            <w:gridSpan w:val="5"/>
            <w:tcBorders>
              <w:top w:val="single" w:sz="4" w:space="0" w:color="auto"/>
            </w:tcBorders>
          </w:tcPr>
          <w:p w14:paraId="33F062B7" w14:textId="77777777" w:rsidR="00FA5E6B" w:rsidRPr="006F6B0C" w:rsidRDefault="004C586F">
            <w:pPr>
              <w:pStyle w:val="ListParagraph"/>
              <w:spacing w:line="360" w:lineRule="auto"/>
              <w:ind w:left="0"/>
              <w:jc w:val="both"/>
              <w:rPr>
                <w:rFonts w:ascii="Times New Roman" w:hAnsi="Times New Roman" w:cs="Times New Roman"/>
                <w:sz w:val="24"/>
                <w:szCs w:val="24"/>
              </w:rPr>
            </w:pPr>
            <w:r w:rsidRPr="006F6B0C">
              <w:rPr>
                <w:rFonts w:ascii="Times New Roman" w:hAnsi="Times New Roman" w:cs="Times New Roman"/>
                <w:sz w:val="24"/>
                <w:szCs w:val="24"/>
              </w:rPr>
              <w:t>Criterion Mean</w:t>
            </w:r>
          </w:p>
        </w:tc>
        <w:tc>
          <w:tcPr>
            <w:tcW w:w="709" w:type="dxa"/>
            <w:tcBorders>
              <w:top w:val="single" w:sz="4" w:space="0" w:color="auto"/>
            </w:tcBorders>
            <w:vAlign w:val="center"/>
          </w:tcPr>
          <w:p w14:paraId="2807E3D8"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2.50</w:t>
            </w:r>
          </w:p>
        </w:tc>
        <w:tc>
          <w:tcPr>
            <w:tcW w:w="570" w:type="dxa"/>
            <w:tcBorders>
              <w:top w:val="single" w:sz="4" w:space="0" w:color="auto"/>
            </w:tcBorders>
            <w:vAlign w:val="center"/>
          </w:tcPr>
          <w:p w14:paraId="51BC9562" w14:textId="77777777" w:rsidR="00FA5E6B" w:rsidRPr="006F6B0C" w:rsidRDefault="00FA5E6B">
            <w:pPr>
              <w:pStyle w:val="ListParagraph"/>
              <w:spacing w:line="360" w:lineRule="auto"/>
              <w:ind w:left="0"/>
              <w:jc w:val="right"/>
              <w:rPr>
                <w:rFonts w:ascii="Times New Roman" w:hAnsi="Times New Roman" w:cs="Times New Roman"/>
                <w:color w:val="010205"/>
                <w:sz w:val="24"/>
                <w:szCs w:val="24"/>
              </w:rPr>
            </w:pPr>
          </w:p>
        </w:tc>
      </w:tr>
    </w:tbl>
    <w:p w14:paraId="1C2D66BC" w14:textId="77777777" w:rsidR="00FA5E6B" w:rsidRPr="006F6B0C" w:rsidRDefault="00FA5E6B">
      <w:pPr>
        <w:spacing w:line="360" w:lineRule="auto"/>
        <w:ind w:firstLine="720"/>
        <w:jc w:val="both"/>
        <w:rPr>
          <w:rFonts w:ascii="Times New Roman" w:hAnsi="Times New Roman" w:cs="Times New Roman"/>
          <w:sz w:val="24"/>
          <w:szCs w:val="24"/>
        </w:rPr>
      </w:pPr>
    </w:p>
    <w:p w14:paraId="14CAF9FD" w14:textId="77777777" w:rsidR="00FA5E6B" w:rsidRPr="006F6B0C" w:rsidRDefault="004C586F" w:rsidP="00505FF6">
      <w:pPr>
        <w:spacing w:line="360" w:lineRule="auto"/>
        <w:ind w:firstLine="720"/>
        <w:jc w:val="both"/>
        <w:rPr>
          <w:rFonts w:ascii="Times New Roman" w:hAnsi="Times New Roman" w:cs="Times New Roman"/>
          <w:sz w:val="24"/>
          <w:szCs w:val="24"/>
        </w:rPr>
      </w:pPr>
      <w:r w:rsidRPr="006F6B0C">
        <w:rPr>
          <w:rFonts w:ascii="Times New Roman" w:hAnsi="Times New Roman" w:cs="Times New Roman"/>
          <w:sz w:val="24"/>
          <w:szCs w:val="24"/>
        </w:rPr>
        <w:t>The data presented in Table 4 revealed the challenges undergraduate students at Dennis Osadebay University face in acquiring digital literacy skills. Examining the responses ac</w:t>
      </w:r>
      <w:r w:rsidR="00505FF6" w:rsidRPr="006F6B0C">
        <w:rPr>
          <w:rFonts w:ascii="Times New Roman" w:hAnsi="Times New Roman" w:cs="Times New Roman"/>
          <w:sz w:val="24"/>
          <w:szCs w:val="24"/>
        </w:rPr>
        <w:t xml:space="preserve">ross various potential barriers </w:t>
      </w:r>
      <w:r w:rsidRPr="006F6B0C">
        <w:rPr>
          <w:rFonts w:ascii="Times New Roman" w:hAnsi="Times New Roman" w:cs="Times New Roman"/>
          <w:sz w:val="24"/>
          <w:szCs w:val="24"/>
        </w:rPr>
        <w:t>such as access to digital resources, information literacy, training, infrastru</w:t>
      </w:r>
      <w:r w:rsidR="00505FF6" w:rsidRPr="006F6B0C">
        <w:rPr>
          <w:rFonts w:ascii="Times New Roman" w:hAnsi="Times New Roman" w:cs="Times New Roman"/>
          <w:sz w:val="24"/>
          <w:szCs w:val="24"/>
        </w:rPr>
        <w:t xml:space="preserve">cture, and economic limitations </w:t>
      </w:r>
      <w:r w:rsidRPr="006F6B0C">
        <w:rPr>
          <w:rFonts w:ascii="Times New Roman" w:hAnsi="Times New Roman" w:cs="Times New Roman"/>
          <w:sz w:val="24"/>
          <w:szCs w:val="24"/>
        </w:rPr>
        <w:t>shows that students encounter several significant obstacles. The aggregate mean score of 2.06 is well below the criterion mean of 2.50, which suggests that, overall, the students face substantial challenges that hinder the effective acquisition of digital literacy skills.</w:t>
      </w:r>
    </w:p>
    <w:p w14:paraId="49E52185" w14:textId="77777777" w:rsidR="00FA5E6B" w:rsidRPr="006F6B0C" w:rsidRDefault="004C586F">
      <w:pPr>
        <w:spacing w:line="360" w:lineRule="auto"/>
        <w:jc w:val="both"/>
        <w:rPr>
          <w:rFonts w:ascii="Times New Roman" w:eastAsia="Times New Roman" w:hAnsi="Times New Roman" w:cs="Times New Roman"/>
          <w:b/>
          <w:bCs/>
          <w:sz w:val="24"/>
          <w:szCs w:val="24"/>
        </w:rPr>
      </w:pPr>
      <w:r w:rsidRPr="006F6B0C">
        <w:rPr>
          <w:rFonts w:ascii="Times New Roman" w:hAnsi="Times New Roman" w:cs="Times New Roman"/>
          <w:b/>
          <w:bCs/>
          <w:sz w:val="24"/>
          <w:szCs w:val="24"/>
        </w:rPr>
        <w:lastRenderedPageBreak/>
        <w:t xml:space="preserve">Table 5: Strategies Implemented in Improving </w:t>
      </w:r>
      <w:r w:rsidRPr="006F6B0C">
        <w:rPr>
          <w:rFonts w:ascii="Times New Roman" w:eastAsia="Times New Roman" w:hAnsi="Times New Roman" w:cs="Times New Roman"/>
          <w:b/>
          <w:bCs/>
          <w:sz w:val="24"/>
          <w:szCs w:val="24"/>
        </w:rPr>
        <w:t xml:space="preserve">Digital Literacy Skills among Undergraduate Students </w:t>
      </w:r>
    </w:p>
    <w:tbl>
      <w:tblPr>
        <w:tblStyle w:val="TableGrid"/>
        <w:tblW w:w="8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36"/>
        <w:gridCol w:w="708"/>
        <w:gridCol w:w="567"/>
        <w:gridCol w:w="709"/>
        <w:gridCol w:w="709"/>
        <w:gridCol w:w="709"/>
      </w:tblGrid>
      <w:tr w:rsidR="00FA5E6B" w:rsidRPr="006F6B0C" w14:paraId="11BD72C2" w14:textId="77777777">
        <w:tc>
          <w:tcPr>
            <w:tcW w:w="4390" w:type="dxa"/>
            <w:tcBorders>
              <w:top w:val="single" w:sz="4" w:space="0" w:color="auto"/>
              <w:bottom w:val="single" w:sz="4" w:space="0" w:color="auto"/>
            </w:tcBorders>
          </w:tcPr>
          <w:p w14:paraId="7643D783"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ITEMS</w:t>
            </w:r>
          </w:p>
        </w:tc>
        <w:tc>
          <w:tcPr>
            <w:tcW w:w="736" w:type="dxa"/>
            <w:tcBorders>
              <w:top w:val="single" w:sz="4" w:space="0" w:color="auto"/>
              <w:bottom w:val="single" w:sz="4" w:space="0" w:color="auto"/>
            </w:tcBorders>
          </w:tcPr>
          <w:p w14:paraId="23AFA185"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SD</w:t>
            </w:r>
          </w:p>
        </w:tc>
        <w:tc>
          <w:tcPr>
            <w:tcW w:w="708" w:type="dxa"/>
            <w:tcBorders>
              <w:top w:val="single" w:sz="4" w:space="0" w:color="auto"/>
              <w:bottom w:val="single" w:sz="4" w:space="0" w:color="auto"/>
            </w:tcBorders>
          </w:tcPr>
          <w:p w14:paraId="23D43892"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D</w:t>
            </w:r>
          </w:p>
        </w:tc>
        <w:tc>
          <w:tcPr>
            <w:tcW w:w="567" w:type="dxa"/>
            <w:tcBorders>
              <w:top w:val="single" w:sz="4" w:space="0" w:color="auto"/>
              <w:bottom w:val="single" w:sz="4" w:space="0" w:color="auto"/>
            </w:tcBorders>
          </w:tcPr>
          <w:p w14:paraId="1F8AF6EF"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A</w:t>
            </w:r>
          </w:p>
        </w:tc>
        <w:tc>
          <w:tcPr>
            <w:tcW w:w="709" w:type="dxa"/>
            <w:tcBorders>
              <w:top w:val="single" w:sz="4" w:space="0" w:color="auto"/>
              <w:bottom w:val="single" w:sz="4" w:space="0" w:color="auto"/>
            </w:tcBorders>
          </w:tcPr>
          <w:p w14:paraId="312FE3A6"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bCs/>
                <w:sz w:val="24"/>
                <w:szCs w:val="24"/>
              </w:rPr>
              <w:t>SA</w:t>
            </w:r>
          </w:p>
        </w:tc>
        <w:tc>
          <w:tcPr>
            <w:tcW w:w="709" w:type="dxa"/>
            <w:tcBorders>
              <w:top w:val="single" w:sz="4" w:space="0" w:color="auto"/>
              <w:bottom w:val="single" w:sz="4" w:space="0" w:color="auto"/>
            </w:tcBorders>
          </w:tcPr>
          <w:p w14:paraId="153D3352" w14:textId="77777777" w:rsidR="00FA5E6B" w:rsidRPr="006F6B0C" w:rsidRDefault="00000000">
            <w:pPr>
              <w:pStyle w:val="ListParagraph"/>
              <w:spacing w:line="360" w:lineRule="auto"/>
              <w:ind w:left="0"/>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tc>
        <w:tc>
          <w:tcPr>
            <w:tcW w:w="709" w:type="dxa"/>
            <w:tcBorders>
              <w:top w:val="single" w:sz="4" w:space="0" w:color="auto"/>
              <w:bottom w:val="single" w:sz="4" w:space="0" w:color="auto"/>
            </w:tcBorders>
          </w:tcPr>
          <w:p w14:paraId="67E6865C" w14:textId="77777777" w:rsidR="00FA5E6B" w:rsidRPr="006F6B0C" w:rsidRDefault="004C586F">
            <w:pPr>
              <w:pStyle w:val="ListParagraph"/>
              <w:spacing w:line="360" w:lineRule="auto"/>
              <w:ind w:left="0"/>
              <w:rPr>
                <w:rFonts w:ascii="Times New Roman" w:hAnsi="Times New Roman" w:cs="Times New Roman"/>
                <w:b/>
                <w:bCs/>
                <w:sz w:val="24"/>
                <w:szCs w:val="24"/>
              </w:rPr>
            </w:pPr>
            <w:r w:rsidRPr="006F6B0C">
              <w:rPr>
                <w:rFonts w:ascii="Times New Roman" w:hAnsi="Times New Roman" w:cs="Times New Roman"/>
                <w:b/>
                <w:sz w:val="24"/>
                <w:szCs w:val="24"/>
              </w:rPr>
              <w:t>Std.</w:t>
            </w:r>
          </w:p>
        </w:tc>
      </w:tr>
      <w:tr w:rsidR="00FA5E6B" w:rsidRPr="006F6B0C" w14:paraId="2F0D915C" w14:textId="77777777">
        <w:tc>
          <w:tcPr>
            <w:tcW w:w="4390" w:type="dxa"/>
            <w:tcBorders>
              <w:top w:val="single" w:sz="4" w:space="0" w:color="auto"/>
            </w:tcBorders>
          </w:tcPr>
          <w:p w14:paraId="2BE82F34"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Provision of free or subsidized internet access</w:t>
            </w:r>
          </w:p>
        </w:tc>
        <w:tc>
          <w:tcPr>
            <w:tcW w:w="736" w:type="dxa"/>
            <w:tcBorders>
              <w:top w:val="single" w:sz="4" w:space="0" w:color="auto"/>
            </w:tcBorders>
          </w:tcPr>
          <w:p w14:paraId="0567B69C"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5</w:t>
            </w:r>
          </w:p>
        </w:tc>
        <w:tc>
          <w:tcPr>
            <w:tcW w:w="708" w:type="dxa"/>
            <w:tcBorders>
              <w:top w:val="single" w:sz="4" w:space="0" w:color="auto"/>
            </w:tcBorders>
          </w:tcPr>
          <w:p w14:paraId="76D5348B"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11</w:t>
            </w:r>
          </w:p>
        </w:tc>
        <w:tc>
          <w:tcPr>
            <w:tcW w:w="567" w:type="dxa"/>
            <w:tcBorders>
              <w:top w:val="single" w:sz="4" w:space="0" w:color="auto"/>
            </w:tcBorders>
          </w:tcPr>
          <w:p w14:paraId="6C4DA95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15</w:t>
            </w:r>
          </w:p>
        </w:tc>
        <w:tc>
          <w:tcPr>
            <w:tcW w:w="709" w:type="dxa"/>
            <w:tcBorders>
              <w:top w:val="single" w:sz="4" w:space="0" w:color="auto"/>
            </w:tcBorders>
          </w:tcPr>
          <w:p w14:paraId="7A66375C"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20</w:t>
            </w:r>
          </w:p>
        </w:tc>
        <w:tc>
          <w:tcPr>
            <w:tcW w:w="709" w:type="dxa"/>
            <w:tcBorders>
              <w:top w:val="single" w:sz="4" w:space="0" w:color="auto"/>
            </w:tcBorders>
            <w:vAlign w:val="center"/>
          </w:tcPr>
          <w:p w14:paraId="3E66ACA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2.02</w:t>
            </w:r>
          </w:p>
        </w:tc>
        <w:tc>
          <w:tcPr>
            <w:tcW w:w="709" w:type="dxa"/>
            <w:tcBorders>
              <w:top w:val="single" w:sz="4" w:space="0" w:color="auto"/>
            </w:tcBorders>
            <w:vAlign w:val="center"/>
          </w:tcPr>
          <w:p w14:paraId="03FA2943"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1.01</w:t>
            </w:r>
          </w:p>
        </w:tc>
      </w:tr>
      <w:tr w:rsidR="00FA5E6B" w:rsidRPr="006F6B0C" w14:paraId="441A5B0C" w14:textId="77777777">
        <w:tc>
          <w:tcPr>
            <w:tcW w:w="4390" w:type="dxa"/>
          </w:tcPr>
          <w:p w14:paraId="368E3BBB"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Introduction of digital literacy courses in school curriculum</w:t>
            </w:r>
          </w:p>
        </w:tc>
        <w:tc>
          <w:tcPr>
            <w:tcW w:w="736" w:type="dxa"/>
          </w:tcPr>
          <w:p w14:paraId="09964F73"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21</w:t>
            </w:r>
          </w:p>
        </w:tc>
        <w:tc>
          <w:tcPr>
            <w:tcW w:w="708" w:type="dxa"/>
          </w:tcPr>
          <w:p w14:paraId="6672B270"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17</w:t>
            </w:r>
          </w:p>
        </w:tc>
        <w:tc>
          <w:tcPr>
            <w:tcW w:w="567" w:type="dxa"/>
          </w:tcPr>
          <w:p w14:paraId="59344D59"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13</w:t>
            </w:r>
          </w:p>
        </w:tc>
        <w:tc>
          <w:tcPr>
            <w:tcW w:w="709" w:type="dxa"/>
          </w:tcPr>
          <w:p w14:paraId="4688474B"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21</w:t>
            </w:r>
          </w:p>
        </w:tc>
        <w:tc>
          <w:tcPr>
            <w:tcW w:w="709" w:type="dxa"/>
            <w:vAlign w:val="center"/>
          </w:tcPr>
          <w:p w14:paraId="7523DAAA"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1.92</w:t>
            </w:r>
          </w:p>
        </w:tc>
        <w:tc>
          <w:tcPr>
            <w:tcW w:w="709" w:type="dxa"/>
            <w:vAlign w:val="center"/>
          </w:tcPr>
          <w:p w14:paraId="7B88A477"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0.87</w:t>
            </w:r>
          </w:p>
        </w:tc>
      </w:tr>
      <w:tr w:rsidR="00FA5E6B" w:rsidRPr="006F6B0C" w14:paraId="3037E658" w14:textId="77777777">
        <w:tc>
          <w:tcPr>
            <w:tcW w:w="4390" w:type="dxa"/>
          </w:tcPr>
          <w:p w14:paraId="4223B1E7"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Training workshop on digital skills</w:t>
            </w:r>
          </w:p>
        </w:tc>
        <w:tc>
          <w:tcPr>
            <w:tcW w:w="736" w:type="dxa"/>
          </w:tcPr>
          <w:p w14:paraId="6E6CBCE3"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4</w:t>
            </w:r>
          </w:p>
        </w:tc>
        <w:tc>
          <w:tcPr>
            <w:tcW w:w="708" w:type="dxa"/>
          </w:tcPr>
          <w:p w14:paraId="5C9745BA"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13</w:t>
            </w:r>
          </w:p>
        </w:tc>
        <w:tc>
          <w:tcPr>
            <w:tcW w:w="567" w:type="dxa"/>
          </w:tcPr>
          <w:p w14:paraId="325AD4C0"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16</w:t>
            </w:r>
          </w:p>
        </w:tc>
        <w:tc>
          <w:tcPr>
            <w:tcW w:w="709" w:type="dxa"/>
          </w:tcPr>
          <w:p w14:paraId="61A09DF8"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18</w:t>
            </w:r>
          </w:p>
        </w:tc>
        <w:tc>
          <w:tcPr>
            <w:tcW w:w="709" w:type="dxa"/>
            <w:vAlign w:val="center"/>
          </w:tcPr>
          <w:p w14:paraId="69D91339"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2.06</w:t>
            </w:r>
          </w:p>
        </w:tc>
        <w:tc>
          <w:tcPr>
            <w:tcW w:w="709" w:type="dxa"/>
            <w:vAlign w:val="center"/>
          </w:tcPr>
          <w:p w14:paraId="47C373A2"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0.97</w:t>
            </w:r>
          </w:p>
        </w:tc>
      </w:tr>
      <w:tr w:rsidR="00FA5E6B" w:rsidRPr="006F6B0C" w14:paraId="6EF6F794" w14:textId="77777777">
        <w:tc>
          <w:tcPr>
            <w:tcW w:w="4390" w:type="dxa"/>
            <w:tcBorders>
              <w:bottom w:val="single" w:sz="4" w:space="0" w:color="auto"/>
            </w:tcBorders>
          </w:tcPr>
          <w:p w14:paraId="6B8C854C" w14:textId="77777777" w:rsidR="00FA5E6B" w:rsidRPr="006F6B0C" w:rsidRDefault="004C586F">
            <w:pPr>
              <w:pStyle w:val="ListParagraph"/>
              <w:spacing w:line="360" w:lineRule="auto"/>
              <w:ind w:left="0"/>
              <w:rPr>
                <w:rFonts w:ascii="Times New Roman" w:hAnsi="Times New Roman" w:cs="Times New Roman"/>
                <w:sz w:val="24"/>
                <w:szCs w:val="24"/>
              </w:rPr>
            </w:pPr>
            <w:r w:rsidRPr="006F6B0C">
              <w:rPr>
                <w:rFonts w:ascii="Times New Roman" w:hAnsi="Times New Roman" w:cs="Times New Roman"/>
                <w:sz w:val="24"/>
                <w:szCs w:val="24"/>
              </w:rPr>
              <w:t>Provision of modern computers in libraries and labs</w:t>
            </w:r>
          </w:p>
        </w:tc>
        <w:tc>
          <w:tcPr>
            <w:tcW w:w="736" w:type="dxa"/>
            <w:tcBorders>
              <w:bottom w:val="single" w:sz="4" w:space="0" w:color="auto"/>
            </w:tcBorders>
          </w:tcPr>
          <w:p w14:paraId="08E2B1D1"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w:t>
            </w:r>
          </w:p>
        </w:tc>
        <w:tc>
          <w:tcPr>
            <w:tcW w:w="708" w:type="dxa"/>
            <w:tcBorders>
              <w:bottom w:val="single" w:sz="4" w:space="0" w:color="auto"/>
            </w:tcBorders>
          </w:tcPr>
          <w:p w14:paraId="7BCC667B"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w:t>
            </w:r>
          </w:p>
        </w:tc>
        <w:tc>
          <w:tcPr>
            <w:tcW w:w="567" w:type="dxa"/>
            <w:tcBorders>
              <w:bottom w:val="single" w:sz="4" w:space="0" w:color="auto"/>
            </w:tcBorders>
          </w:tcPr>
          <w:p w14:paraId="6B84686E"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26</w:t>
            </w:r>
          </w:p>
        </w:tc>
        <w:tc>
          <w:tcPr>
            <w:tcW w:w="709" w:type="dxa"/>
            <w:tcBorders>
              <w:bottom w:val="single" w:sz="4" w:space="0" w:color="auto"/>
            </w:tcBorders>
          </w:tcPr>
          <w:p w14:paraId="51A72597"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sz w:val="24"/>
                <w:szCs w:val="24"/>
              </w:rPr>
              <w:t>21</w:t>
            </w:r>
          </w:p>
        </w:tc>
        <w:tc>
          <w:tcPr>
            <w:tcW w:w="709" w:type="dxa"/>
            <w:tcBorders>
              <w:bottom w:val="single" w:sz="4" w:space="0" w:color="auto"/>
            </w:tcBorders>
            <w:vAlign w:val="center"/>
          </w:tcPr>
          <w:p w14:paraId="145A05C6"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1.71</w:t>
            </w:r>
          </w:p>
        </w:tc>
        <w:tc>
          <w:tcPr>
            <w:tcW w:w="709" w:type="dxa"/>
            <w:tcBorders>
              <w:bottom w:val="single" w:sz="4" w:space="0" w:color="auto"/>
            </w:tcBorders>
            <w:vAlign w:val="center"/>
          </w:tcPr>
          <w:p w14:paraId="5C9C3054" w14:textId="77777777" w:rsidR="00FA5E6B" w:rsidRPr="006F6B0C" w:rsidRDefault="004C586F">
            <w:pPr>
              <w:pStyle w:val="ListParagraph"/>
              <w:spacing w:line="360" w:lineRule="auto"/>
              <w:ind w:left="0"/>
              <w:jc w:val="right"/>
              <w:rPr>
                <w:rFonts w:ascii="Times New Roman" w:hAnsi="Times New Roman" w:cs="Times New Roman"/>
                <w:sz w:val="24"/>
                <w:szCs w:val="24"/>
              </w:rPr>
            </w:pPr>
            <w:r w:rsidRPr="006F6B0C">
              <w:rPr>
                <w:rFonts w:ascii="Times New Roman" w:hAnsi="Times New Roman" w:cs="Times New Roman"/>
                <w:color w:val="010205"/>
                <w:sz w:val="24"/>
                <w:szCs w:val="24"/>
              </w:rPr>
              <w:t>0.73</w:t>
            </w:r>
          </w:p>
        </w:tc>
      </w:tr>
      <w:tr w:rsidR="00FA5E6B" w:rsidRPr="006F6B0C" w14:paraId="53CAE287" w14:textId="77777777">
        <w:tc>
          <w:tcPr>
            <w:tcW w:w="7110" w:type="dxa"/>
            <w:gridSpan w:val="5"/>
            <w:tcBorders>
              <w:top w:val="single" w:sz="4" w:space="0" w:color="auto"/>
              <w:bottom w:val="single" w:sz="4" w:space="0" w:color="auto"/>
            </w:tcBorders>
          </w:tcPr>
          <w:p w14:paraId="1384ECA4" w14:textId="77777777" w:rsidR="00FA5E6B" w:rsidRPr="006F6B0C" w:rsidRDefault="004C586F">
            <w:pPr>
              <w:pStyle w:val="ListParagraph"/>
              <w:spacing w:line="360" w:lineRule="auto"/>
              <w:ind w:left="0"/>
              <w:jc w:val="both"/>
              <w:rPr>
                <w:rFonts w:ascii="Times New Roman" w:hAnsi="Times New Roman" w:cs="Times New Roman"/>
                <w:sz w:val="24"/>
                <w:szCs w:val="24"/>
              </w:rPr>
            </w:pPr>
            <w:r w:rsidRPr="006F6B0C">
              <w:rPr>
                <w:rFonts w:ascii="Times New Roman" w:hAnsi="Times New Roman" w:cs="Times New Roman"/>
                <w:sz w:val="24"/>
                <w:szCs w:val="24"/>
              </w:rPr>
              <w:t>Aggregate Mean/Std.</w:t>
            </w:r>
          </w:p>
        </w:tc>
        <w:tc>
          <w:tcPr>
            <w:tcW w:w="709" w:type="dxa"/>
            <w:tcBorders>
              <w:top w:val="single" w:sz="4" w:space="0" w:color="auto"/>
              <w:bottom w:val="single" w:sz="4" w:space="0" w:color="auto"/>
            </w:tcBorders>
            <w:vAlign w:val="center"/>
          </w:tcPr>
          <w:p w14:paraId="6D771D6D"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1.93</w:t>
            </w:r>
          </w:p>
        </w:tc>
        <w:tc>
          <w:tcPr>
            <w:tcW w:w="709" w:type="dxa"/>
            <w:tcBorders>
              <w:top w:val="single" w:sz="4" w:space="0" w:color="auto"/>
              <w:bottom w:val="single" w:sz="4" w:space="0" w:color="auto"/>
            </w:tcBorders>
            <w:vAlign w:val="center"/>
          </w:tcPr>
          <w:p w14:paraId="0DB0D43D"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0.89</w:t>
            </w:r>
          </w:p>
        </w:tc>
      </w:tr>
      <w:tr w:rsidR="00FA5E6B" w:rsidRPr="006F6B0C" w14:paraId="16FD99B9" w14:textId="77777777">
        <w:tc>
          <w:tcPr>
            <w:tcW w:w="7110" w:type="dxa"/>
            <w:gridSpan w:val="5"/>
            <w:tcBorders>
              <w:top w:val="single" w:sz="4" w:space="0" w:color="auto"/>
            </w:tcBorders>
          </w:tcPr>
          <w:p w14:paraId="296141FE" w14:textId="77777777" w:rsidR="00FA5E6B" w:rsidRPr="006F6B0C" w:rsidRDefault="004C586F">
            <w:pPr>
              <w:pStyle w:val="ListParagraph"/>
              <w:spacing w:line="360" w:lineRule="auto"/>
              <w:ind w:left="0"/>
              <w:jc w:val="both"/>
              <w:rPr>
                <w:rFonts w:ascii="Times New Roman" w:hAnsi="Times New Roman" w:cs="Times New Roman"/>
                <w:sz w:val="24"/>
                <w:szCs w:val="24"/>
              </w:rPr>
            </w:pPr>
            <w:r w:rsidRPr="006F6B0C">
              <w:rPr>
                <w:rFonts w:ascii="Times New Roman" w:hAnsi="Times New Roman" w:cs="Times New Roman"/>
                <w:sz w:val="24"/>
                <w:szCs w:val="24"/>
              </w:rPr>
              <w:t>Criterion Mean</w:t>
            </w:r>
          </w:p>
        </w:tc>
        <w:tc>
          <w:tcPr>
            <w:tcW w:w="709" w:type="dxa"/>
            <w:tcBorders>
              <w:top w:val="single" w:sz="4" w:space="0" w:color="auto"/>
            </w:tcBorders>
            <w:vAlign w:val="center"/>
          </w:tcPr>
          <w:p w14:paraId="132D64CC" w14:textId="77777777" w:rsidR="00FA5E6B" w:rsidRPr="006F6B0C" w:rsidRDefault="004C586F">
            <w:pPr>
              <w:pStyle w:val="ListParagraph"/>
              <w:spacing w:line="360" w:lineRule="auto"/>
              <w:ind w:left="0"/>
              <w:jc w:val="right"/>
              <w:rPr>
                <w:rFonts w:ascii="Times New Roman" w:hAnsi="Times New Roman" w:cs="Times New Roman"/>
                <w:color w:val="010205"/>
                <w:sz w:val="24"/>
                <w:szCs w:val="24"/>
              </w:rPr>
            </w:pPr>
            <w:r w:rsidRPr="006F6B0C">
              <w:rPr>
                <w:rFonts w:ascii="Times New Roman" w:hAnsi="Times New Roman" w:cs="Times New Roman"/>
                <w:color w:val="010205"/>
                <w:sz w:val="24"/>
                <w:szCs w:val="24"/>
              </w:rPr>
              <w:t>2.50</w:t>
            </w:r>
          </w:p>
        </w:tc>
        <w:tc>
          <w:tcPr>
            <w:tcW w:w="709" w:type="dxa"/>
            <w:tcBorders>
              <w:top w:val="single" w:sz="4" w:space="0" w:color="auto"/>
            </w:tcBorders>
            <w:vAlign w:val="center"/>
          </w:tcPr>
          <w:p w14:paraId="4F80B070" w14:textId="77777777" w:rsidR="00FA5E6B" w:rsidRPr="006F6B0C" w:rsidRDefault="00FA5E6B">
            <w:pPr>
              <w:pStyle w:val="ListParagraph"/>
              <w:spacing w:line="360" w:lineRule="auto"/>
              <w:ind w:left="0"/>
              <w:jc w:val="right"/>
              <w:rPr>
                <w:rFonts w:ascii="Times New Roman" w:hAnsi="Times New Roman" w:cs="Times New Roman"/>
                <w:color w:val="010205"/>
                <w:sz w:val="24"/>
                <w:szCs w:val="24"/>
              </w:rPr>
            </w:pPr>
          </w:p>
        </w:tc>
      </w:tr>
    </w:tbl>
    <w:p w14:paraId="19FF0A4D" w14:textId="77777777" w:rsidR="00FA5E6B" w:rsidRPr="006F6B0C" w:rsidRDefault="00FA5E6B">
      <w:pPr>
        <w:spacing w:line="360" w:lineRule="auto"/>
        <w:jc w:val="both"/>
        <w:rPr>
          <w:rFonts w:ascii="Times New Roman" w:eastAsia="Times New Roman" w:hAnsi="Times New Roman" w:cs="Times New Roman"/>
          <w:b/>
          <w:bCs/>
          <w:sz w:val="24"/>
          <w:szCs w:val="24"/>
        </w:rPr>
      </w:pPr>
    </w:p>
    <w:p w14:paraId="683AF95F" w14:textId="77777777" w:rsidR="00FA5E6B" w:rsidRPr="006F6B0C" w:rsidRDefault="004C586F">
      <w:pPr>
        <w:spacing w:line="360" w:lineRule="auto"/>
        <w:ind w:firstLine="720"/>
        <w:jc w:val="both"/>
        <w:rPr>
          <w:rFonts w:ascii="Times New Roman" w:hAnsi="Times New Roman" w:cs="Times New Roman"/>
          <w:sz w:val="24"/>
          <w:szCs w:val="24"/>
        </w:rPr>
      </w:pPr>
      <w:r w:rsidRPr="006F6B0C">
        <w:rPr>
          <w:rFonts w:ascii="Times New Roman" w:hAnsi="Times New Roman" w:cs="Times New Roman"/>
          <w:sz w:val="24"/>
          <w:szCs w:val="24"/>
        </w:rPr>
        <w:t>The data presented in Table 5 revealed the strategies that can be implemented to improve digital literacy skills among undergraduate students at Dennis Osadebay University. Examining the responses across</w:t>
      </w:r>
      <w:r w:rsidR="00505FF6" w:rsidRPr="006F6B0C">
        <w:rPr>
          <w:rFonts w:ascii="Times New Roman" w:hAnsi="Times New Roman" w:cs="Times New Roman"/>
          <w:sz w:val="24"/>
          <w:szCs w:val="24"/>
        </w:rPr>
        <w:t xml:space="preserve"> various proposed interventions </w:t>
      </w:r>
      <w:r w:rsidRPr="006F6B0C">
        <w:rPr>
          <w:rFonts w:ascii="Times New Roman" w:hAnsi="Times New Roman" w:cs="Times New Roman"/>
          <w:sz w:val="24"/>
          <w:szCs w:val="24"/>
        </w:rPr>
        <w:t>such as internet access, curriculum integration, training workshops, an</w:t>
      </w:r>
      <w:r w:rsidR="00505FF6" w:rsidRPr="006F6B0C">
        <w:rPr>
          <w:rFonts w:ascii="Times New Roman" w:hAnsi="Times New Roman" w:cs="Times New Roman"/>
          <w:sz w:val="24"/>
          <w:szCs w:val="24"/>
        </w:rPr>
        <w:t xml:space="preserve">d provision of modern equipment </w:t>
      </w:r>
      <w:r w:rsidRPr="006F6B0C">
        <w:rPr>
          <w:rFonts w:ascii="Times New Roman" w:hAnsi="Times New Roman" w:cs="Times New Roman"/>
          <w:sz w:val="24"/>
          <w:szCs w:val="24"/>
        </w:rPr>
        <w:t>shows students' levels of agreement on practical methods for enhancing digital competency. The aggregate mean score of 1.93 is well below the criterion mean of 2.50, which suggests that, overall, the proposed strategies have not yet been effectively implemented or fully embraced, and more concrete actions are required to improve digital literacy among students.</w:t>
      </w:r>
    </w:p>
    <w:p w14:paraId="397DA3B4" w14:textId="77777777" w:rsidR="00FA5E6B" w:rsidRPr="006F6B0C" w:rsidRDefault="00FA5E6B">
      <w:pPr>
        <w:rPr>
          <w:rFonts w:ascii="Times New Roman" w:hAnsi="Times New Roman" w:cs="Times New Roman"/>
          <w:color w:val="FF0000"/>
          <w:sz w:val="24"/>
          <w:szCs w:val="24"/>
        </w:rPr>
      </w:pPr>
    </w:p>
    <w:p w14:paraId="23FE0357" w14:textId="77777777" w:rsidR="00FA5E6B" w:rsidRPr="006F6B0C" w:rsidRDefault="004C586F">
      <w:pPr>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 xml:space="preserve">Testing of the Hypotheses </w:t>
      </w:r>
    </w:p>
    <w:p w14:paraId="62D2D700" w14:textId="77777777" w:rsidR="00FA5E6B" w:rsidRPr="006F6B0C" w:rsidRDefault="004C586F">
      <w:pPr>
        <w:spacing w:line="360" w:lineRule="auto"/>
        <w:jc w:val="both"/>
        <w:rPr>
          <w:rFonts w:ascii="Times New Roman" w:hAnsi="Times New Roman" w:cs="Times New Roman"/>
          <w:sz w:val="24"/>
          <w:szCs w:val="24"/>
        </w:rPr>
      </w:pPr>
      <w:r w:rsidRPr="006F6B0C">
        <w:rPr>
          <w:rFonts w:ascii="Times New Roman" w:hAnsi="Times New Roman" w:cs="Times New Roman"/>
          <w:sz w:val="24"/>
          <w:szCs w:val="24"/>
        </w:rPr>
        <w:t>Ho</w:t>
      </w:r>
      <w:r w:rsidRPr="006F6B0C">
        <w:rPr>
          <w:rFonts w:ascii="Times New Roman" w:hAnsi="Times New Roman" w:cs="Times New Roman"/>
          <w:sz w:val="24"/>
          <w:szCs w:val="24"/>
          <w:vertAlign w:val="subscript"/>
        </w:rPr>
        <w:t>1</w:t>
      </w:r>
      <w:r w:rsidRPr="006F6B0C">
        <w:rPr>
          <w:rFonts w:ascii="Times New Roman" w:hAnsi="Times New Roman" w:cs="Times New Roman"/>
          <w:b/>
          <w:bCs/>
          <w:sz w:val="24"/>
          <w:szCs w:val="24"/>
          <w:vertAlign w:val="subscript"/>
        </w:rPr>
        <w:t>:</w:t>
      </w:r>
      <w:r w:rsidRPr="006F6B0C">
        <w:rPr>
          <w:rFonts w:ascii="Times New Roman" w:hAnsi="Times New Roman" w:cs="Times New Roman"/>
          <w:sz w:val="24"/>
          <w:szCs w:val="24"/>
        </w:rPr>
        <w:t xml:space="preserve"> There is no significant difference in the digital literacy skills of undergraduate students across different Departments at Dennis Osadebay University.</w:t>
      </w:r>
    </w:p>
    <w:p w14:paraId="4D8F1642" w14:textId="77777777" w:rsidR="00FA5E6B" w:rsidRPr="006F6B0C" w:rsidRDefault="004C586F">
      <w:pPr>
        <w:spacing w:line="360" w:lineRule="auto"/>
        <w:jc w:val="both"/>
        <w:rPr>
          <w:rFonts w:ascii="Times New Roman" w:hAnsi="Times New Roman" w:cs="Times New Roman"/>
          <w:sz w:val="24"/>
          <w:szCs w:val="24"/>
        </w:rPr>
      </w:pPr>
      <w:r w:rsidRPr="006F6B0C">
        <w:rPr>
          <w:rFonts w:ascii="Times New Roman" w:hAnsi="Times New Roman" w:cs="Times New Roman"/>
          <w:sz w:val="24"/>
          <w:szCs w:val="24"/>
        </w:rPr>
        <w:t>Ho</w:t>
      </w:r>
      <w:r w:rsidRPr="006F6B0C">
        <w:rPr>
          <w:rFonts w:ascii="Times New Roman" w:hAnsi="Times New Roman" w:cs="Times New Roman"/>
          <w:sz w:val="24"/>
          <w:szCs w:val="24"/>
          <w:vertAlign w:val="subscript"/>
        </w:rPr>
        <w:t>1</w:t>
      </w:r>
      <w:r w:rsidRPr="006F6B0C">
        <w:rPr>
          <w:rFonts w:ascii="Times New Roman" w:hAnsi="Times New Roman" w:cs="Times New Roman"/>
          <w:b/>
          <w:bCs/>
          <w:sz w:val="24"/>
          <w:szCs w:val="24"/>
          <w:vertAlign w:val="subscript"/>
        </w:rPr>
        <w:t xml:space="preserve">: </w:t>
      </w:r>
      <w:r w:rsidRPr="006F6B0C">
        <w:rPr>
          <w:rFonts w:ascii="Times New Roman" w:hAnsi="Times New Roman" w:cs="Times New Roman"/>
          <w:sz w:val="24"/>
          <w:szCs w:val="24"/>
        </w:rPr>
        <w:t>There is no significant difference in perceived challenges to acquiring digital literacy skills among students from different departments.</w:t>
      </w:r>
    </w:p>
    <w:p w14:paraId="0555B41A" w14:textId="77777777" w:rsidR="00FA5E6B" w:rsidRPr="006F6B0C" w:rsidRDefault="004C586F">
      <w:pPr>
        <w:spacing w:line="360" w:lineRule="auto"/>
        <w:jc w:val="both"/>
        <w:rPr>
          <w:rFonts w:ascii="Times New Roman" w:hAnsi="Times New Roman" w:cs="Times New Roman"/>
          <w:b/>
          <w:bCs/>
          <w:sz w:val="24"/>
          <w:szCs w:val="24"/>
        </w:rPr>
      </w:pPr>
      <w:bookmarkStart w:id="0" w:name="_Hlk172843191"/>
      <w:r w:rsidRPr="006F6B0C">
        <w:rPr>
          <w:rFonts w:ascii="Times New Roman" w:hAnsi="Times New Roman" w:cs="Times New Roman"/>
          <w:b/>
          <w:bCs/>
          <w:sz w:val="24"/>
          <w:szCs w:val="24"/>
        </w:rPr>
        <w:t xml:space="preserve">Table 6: Differences in the Digital </w:t>
      </w:r>
      <w:r w:rsidR="00505FF6" w:rsidRPr="006F6B0C">
        <w:rPr>
          <w:rFonts w:ascii="Times New Roman" w:hAnsi="Times New Roman" w:cs="Times New Roman"/>
          <w:b/>
          <w:bCs/>
          <w:sz w:val="24"/>
          <w:szCs w:val="24"/>
        </w:rPr>
        <w:t>Literacy Skills Acquisition of</w:t>
      </w:r>
      <w:r w:rsidRPr="006F6B0C">
        <w:rPr>
          <w:rFonts w:ascii="Times New Roman" w:hAnsi="Times New Roman" w:cs="Times New Roman"/>
          <w:b/>
          <w:bCs/>
          <w:color w:val="FF0000"/>
          <w:sz w:val="24"/>
          <w:szCs w:val="24"/>
        </w:rPr>
        <w:t xml:space="preserve"> </w:t>
      </w:r>
      <w:r w:rsidR="00505FF6" w:rsidRPr="006F6B0C">
        <w:rPr>
          <w:rFonts w:ascii="Times New Roman" w:hAnsi="Times New Roman" w:cs="Times New Roman"/>
          <w:b/>
          <w:bCs/>
          <w:sz w:val="24"/>
          <w:szCs w:val="24"/>
        </w:rPr>
        <w:t>Undergraduate Students in</w:t>
      </w:r>
      <w:r w:rsidRPr="006F6B0C">
        <w:rPr>
          <w:rFonts w:ascii="Times New Roman" w:hAnsi="Times New Roman" w:cs="Times New Roman"/>
          <w:b/>
          <w:bCs/>
          <w:sz w:val="24"/>
          <w:szCs w:val="24"/>
        </w:rPr>
        <w:t xml:space="preserve"> Dennis Osadebay University.</w:t>
      </w:r>
    </w:p>
    <w:tbl>
      <w:tblPr>
        <w:tblW w:w="8006" w:type="dxa"/>
        <w:tblLayout w:type="fixed"/>
        <w:tblCellMar>
          <w:left w:w="0" w:type="dxa"/>
          <w:right w:w="0" w:type="dxa"/>
        </w:tblCellMar>
        <w:tblLook w:val="0000" w:firstRow="0" w:lastRow="0" w:firstColumn="0" w:lastColumn="0" w:noHBand="0" w:noVBand="0"/>
      </w:tblPr>
      <w:tblGrid>
        <w:gridCol w:w="1985"/>
        <w:gridCol w:w="1486"/>
        <w:gridCol w:w="1037"/>
        <w:gridCol w:w="1424"/>
        <w:gridCol w:w="1037"/>
        <w:gridCol w:w="1037"/>
      </w:tblGrid>
      <w:tr w:rsidR="00FA5E6B" w:rsidRPr="006F6B0C" w14:paraId="6D1F8178" w14:textId="77777777">
        <w:trPr>
          <w:cantSplit/>
        </w:trPr>
        <w:tc>
          <w:tcPr>
            <w:tcW w:w="1985" w:type="dxa"/>
            <w:tcBorders>
              <w:top w:val="single" w:sz="4" w:space="0" w:color="auto"/>
              <w:bottom w:val="single" w:sz="4" w:space="0" w:color="auto"/>
            </w:tcBorders>
            <w:shd w:val="clear" w:color="auto" w:fill="auto"/>
            <w:vAlign w:val="bottom"/>
          </w:tcPr>
          <w:p w14:paraId="43EAFFEB" w14:textId="77777777" w:rsidR="00FA5E6B" w:rsidRPr="006F6B0C" w:rsidRDefault="00FA5E6B">
            <w:pPr>
              <w:spacing w:line="360" w:lineRule="auto"/>
              <w:rPr>
                <w:rFonts w:ascii="Times New Roman" w:hAnsi="Times New Roman" w:cs="Times New Roman"/>
                <w:sz w:val="24"/>
                <w:szCs w:val="24"/>
              </w:rPr>
            </w:pPr>
          </w:p>
        </w:tc>
        <w:tc>
          <w:tcPr>
            <w:tcW w:w="1486" w:type="dxa"/>
            <w:tcBorders>
              <w:top w:val="single" w:sz="4" w:space="0" w:color="auto"/>
              <w:bottom w:val="single" w:sz="4" w:space="0" w:color="auto"/>
            </w:tcBorders>
            <w:shd w:val="clear" w:color="auto" w:fill="auto"/>
            <w:vAlign w:val="bottom"/>
          </w:tcPr>
          <w:p w14:paraId="2968B63C" w14:textId="77777777" w:rsidR="00FA5E6B" w:rsidRPr="006F6B0C" w:rsidRDefault="004C586F">
            <w:pPr>
              <w:spacing w:line="360" w:lineRule="auto"/>
              <w:ind w:left="60" w:right="60"/>
              <w:jc w:val="center"/>
              <w:rPr>
                <w:rFonts w:ascii="Times New Roman" w:hAnsi="Times New Roman" w:cs="Times New Roman"/>
                <w:sz w:val="24"/>
                <w:szCs w:val="24"/>
              </w:rPr>
            </w:pPr>
            <w:r w:rsidRPr="006F6B0C">
              <w:rPr>
                <w:rFonts w:ascii="Times New Roman" w:hAnsi="Times New Roman" w:cs="Times New Roman"/>
                <w:sz w:val="24"/>
                <w:szCs w:val="24"/>
              </w:rPr>
              <w:t>Sum of Squares</w:t>
            </w:r>
          </w:p>
        </w:tc>
        <w:tc>
          <w:tcPr>
            <w:tcW w:w="1037" w:type="dxa"/>
            <w:tcBorders>
              <w:top w:val="single" w:sz="4" w:space="0" w:color="auto"/>
              <w:bottom w:val="single" w:sz="4" w:space="0" w:color="auto"/>
            </w:tcBorders>
            <w:shd w:val="clear" w:color="auto" w:fill="auto"/>
            <w:vAlign w:val="bottom"/>
          </w:tcPr>
          <w:p w14:paraId="3123E9CC" w14:textId="77777777" w:rsidR="00FA5E6B" w:rsidRPr="006F6B0C" w:rsidRDefault="004C586F">
            <w:pPr>
              <w:spacing w:line="360" w:lineRule="auto"/>
              <w:ind w:left="60" w:right="60"/>
              <w:jc w:val="center"/>
              <w:rPr>
                <w:rFonts w:ascii="Times New Roman" w:hAnsi="Times New Roman" w:cs="Times New Roman"/>
                <w:sz w:val="24"/>
                <w:szCs w:val="24"/>
              </w:rPr>
            </w:pPr>
            <w:r w:rsidRPr="006F6B0C">
              <w:rPr>
                <w:rFonts w:ascii="Times New Roman" w:hAnsi="Times New Roman" w:cs="Times New Roman"/>
                <w:sz w:val="24"/>
                <w:szCs w:val="24"/>
              </w:rPr>
              <w:t>df</w:t>
            </w:r>
          </w:p>
        </w:tc>
        <w:tc>
          <w:tcPr>
            <w:tcW w:w="1424" w:type="dxa"/>
            <w:tcBorders>
              <w:top w:val="single" w:sz="4" w:space="0" w:color="auto"/>
              <w:bottom w:val="single" w:sz="4" w:space="0" w:color="auto"/>
            </w:tcBorders>
            <w:shd w:val="clear" w:color="auto" w:fill="auto"/>
            <w:vAlign w:val="bottom"/>
          </w:tcPr>
          <w:p w14:paraId="49CD1452" w14:textId="77777777" w:rsidR="00FA5E6B" w:rsidRPr="006F6B0C" w:rsidRDefault="004C586F">
            <w:pPr>
              <w:spacing w:line="360" w:lineRule="auto"/>
              <w:ind w:left="60" w:right="60"/>
              <w:jc w:val="center"/>
              <w:rPr>
                <w:rFonts w:ascii="Times New Roman" w:hAnsi="Times New Roman" w:cs="Times New Roman"/>
                <w:sz w:val="24"/>
                <w:szCs w:val="24"/>
              </w:rPr>
            </w:pPr>
            <w:r w:rsidRPr="006F6B0C">
              <w:rPr>
                <w:rFonts w:ascii="Times New Roman" w:hAnsi="Times New Roman" w:cs="Times New Roman"/>
                <w:sz w:val="24"/>
                <w:szCs w:val="24"/>
              </w:rPr>
              <w:t>Mean Square</w:t>
            </w:r>
          </w:p>
        </w:tc>
        <w:tc>
          <w:tcPr>
            <w:tcW w:w="1037" w:type="dxa"/>
            <w:tcBorders>
              <w:top w:val="single" w:sz="4" w:space="0" w:color="auto"/>
              <w:bottom w:val="single" w:sz="4" w:space="0" w:color="auto"/>
            </w:tcBorders>
            <w:shd w:val="clear" w:color="auto" w:fill="auto"/>
            <w:vAlign w:val="bottom"/>
          </w:tcPr>
          <w:p w14:paraId="5B916621" w14:textId="77777777" w:rsidR="00FA5E6B" w:rsidRPr="006F6B0C" w:rsidRDefault="004C586F">
            <w:pPr>
              <w:spacing w:line="360" w:lineRule="auto"/>
              <w:ind w:left="60" w:right="60"/>
              <w:jc w:val="center"/>
              <w:rPr>
                <w:rFonts w:ascii="Times New Roman" w:hAnsi="Times New Roman" w:cs="Times New Roman"/>
                <w:sz w:val="24"/>
                <w:szCs w:val="24"/>
              </w:rPr>
            </w:pPr>
            <w:r w:rsidRPr="006F6B0C">
              <w:rPr>
                <w:rFonts w:ascii="Times New Roman" w:hAnsi="Times New Roman" w:cs="Times New Roman"/>
                <w:sz w:val="24"/>
                <w:szCs w:val="24"/>
              </w:rPr>
              <w:t>F</w:t>
            </w:r>
          </w:p>
        </w:tc>
        <w:tc>
          <w:tcPr>
            <w:tcW w:w="1037" w:type="dxa"/>
            <w:tcBorders>
              <w:top w:val="single" w:sz="4" w:space="0" w:color="auto"/>
              <w:bottom w:val="single" w:sz="4" w:space="0" w:color="auto"/>
            </w:tcBorders>
            <w:shd w:val="clear" w:color="auto" w:fill="auto"/>
            <w:vAlign w:val="bottom"/>
          </w:tcPr>
          <w:p w14:paraId="7407DFBE" w14:textId="77777777" w:rsidR="00FA5E6B" w:rsidRPr="006F6B0C" w:rsidRDefault="004C586F">
            <w:pPr>
              <w:spacing w:line="360" w:lineRule="auto"/>
              <w:ind w:left="60" w:right="60"/>
              <w:jc w:val="center"/>
              <w:rPr>
                <w:rFonts w:ascii="Times New Roman" w:hAnsi="Times New Roman" w:cs="Times New Roman"/>
                <w:sz w:val="24"/>
                <w:szCs w:val="24"/>
              </w:rPr>
            </w:pPr>
            <w:r w:rsidRPr="006F6B0C">
              <w:rPr>
                <w:rFonts w:ascii="Times New Roman" w:hAnsi="Times New Roman" w:cs="Times New Roman"/>
                <w:sz w:val="24"/>
                <w:szCs w:val="24"/>
              </w:rPr>
              <w:t>Sig.</w:t>
            </w:r>
          </w:p>
        </w:tc>
      </w:tr>
      <w:tr w:rsidR="00FA5E6B" w:rsidRPr="006F6B0C" w14:paraId="3FB2DF95" w14:textId="77777777">
        <w:trPr>
          <w:cantSplit/>
        </w:trPr>
        <w:tc>
          <w:tcPr>
            <w:tcW w:w="1985" w:type="dxa"/>
            <w:tcBorders>
              <w:top w:val="single" w:sz="4" w:space="0" w:color="auto"/>
            </w:tcBorders>
            <w:shd w:val="clear" w:color="auto" w:fill="auto"/>
          </w:tcPr>
          <w:p w14:paraId="6CB6C5C3"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lastRenderedPageBreak/>
              <w:t>Between Groups</w:t>
            </w:r>
          </w:p>
        </w:tc>
        <w:tc>
          <w:tcPr>
            <w:tcW w:w="1486" w:type="dxa"/>
            <w:tcBorders>
              <w:top w:val="single" w:sz="4" w:space="0" w:color="auto"/>
            </w:tcBorders>
            <w:shd w:val="clear" w:color="auto" w:fill="auto"/>
          </w:tcPr>
          <w:p w14:paraId="3ACDBCB5"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.418</w:t>
            </w:r>
          </w:p>
        </w:tc>
        <w:tc>
          <w:tcPr>
            <w:tcW w:w="1037" w:type="dxa"/>
            <w:tcBorders>
              <w:top w:val="single" w:sz="4" w:space="0" w:color="auto"/>
            </w:tcBorders>
            <w:shd w:val="clear" w:color="auto" w:fill="auto"/>
          </w:tcPr>
          <w:p w14:paraId="01CD30C4"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5</w:t>
            </w:r>
          </w:p>
        </w:tc>
        <w:tc>
          <w:tcPr>
            <w:tcW w:w="1424" w:type="dxa"/>
            <w:tcBorders>
              <w:top w:val="single" w:sz="4" w:space="0" w:color="auto"/>
            </w:tcBorders>
            <w:shd w:val="clear" w:color="auto" w:fill="auto"/>
          </w:tcPr>
          <w:p w14:paraId="37D48DD8"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.084</w:t>
            </w:r>
          </w:p>
        </w:tc>
        <w:tc>
          <w:tcPr>
            <w:tcW w:w="1037" w:type="dxa"/>
            <w:tcBorders>
              <w:top w:val="single" w:sz="4" w:space="0" w:color="auto"/>
            </w:tcBorders>
            <w:shd w:val="clear" w:color="auto" w:fill="auto"/>
          </w:tcPr>
          <w:p w14:paraId="70526B9D"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.183</w:t>
            </w:r>
          </w:p>
        </w:tc>
        <w:tc>
          <w:tcPr>
            <w:tcW w:w="1037" w:type="dxa"/>
            <w:tcBorders>
              <w:top w:val="single" w:sz="4" w:space="0" w:color="auto"/>
            </w:tcBorders>
            <w:shd w:val="clear" w:color="auto" w:fill="auto"/>
          </w:tcPr>
          <w:p w14:paraId="24F75634"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.967</w:t>
            </w:r>
          </w:p>
        </w:tc>
      </w:tr>
      <w:tr w:rsidR="00FA5E6B" w:rsidRPr="006F6B0C" w14:paraId="35C886DE" w14:textId="77777777">
        <w:trPr>
          <w:cantSplit/>
        </w:trPr>
        <w:tc>
          <w:tcPr>
            <w:tcW w:w="1985" w:type="dxa"/>
            <w:tcBorders>
              <w:bottom w:val="single" w:sz="4" w:space="0" w:color="auto"/>
            </w:tcBorders>
            <w:shd w:val="clear" w:color="auto" w:fill="auto"/>
          </w:tcPr>
          <w:p w14:paraId="4C383709"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Within Groups</w:t>
            </w:r>
          </w:p>
        </w:tc>
        <w:tc>
          <w:tcPr>
            <w:tcW w:w="1486" w:type="dxa"/>
            <w:tcBorders>
              <w:bottom w:val="single" w:sz="4" w:space="0" w:color="auto"/>
            </w:tcBorders>
            <w:shd w:val="clear" w:color="auto" w:fill="auto"/>
          </w:tcPr>
          <w:p w14:paraId="23A4414B"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20.543</w:t>
            </w:r>
          </w:p>
        </w:tc>
        <w:tc>
          <w:tcPr>
            <w:tcW w:w="1037" w:type="dxa"/>
            <w:tcBorders>
              <w:bottom w:val="single" w:sz="4" w:space="0" w:color="auto"/>
            </w:tcBorders>
            <w:shd w:val="clear" w:color="auto" w:fill="auto"/>
          </w:tcPr>
          <w:p w14:paraId="6F6998BC"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45</w:t>
            </w:r>
          </w:p>
        </w:tc>
        <w:tc>
          <w:tcPr>
            <w:tcW w:w="1424" w:type="dxa"/>
            <w:tcBorders>
              <w:bottom w:val="single" w:sz="4" w:space="0" w:color="auto"/>
            </w:tcBorders>
            <w:shd w:val="clear" w:color="auto" w:fill="auto"/>
          </w:tcPr>
          <w:p w14:paraId="411550DE"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.457</w:t>
            </w:r>
          </w:p>
        </w:tc>
        <w:tc>
          <w:tcPr>
            <w:tcW w:w="1037" w:type="dxa"/>
            <w:tcBorders>
              <w:bottom w:val="single" w:sz="4" w:space="0" w:color="auto"/>
            </w:tcBorders>
            <w:shd w:val="clear" w:color="auto" w:fill="auto"/>
            <w:vAlign w:val="center"/>
          </w:tcPr>
          <w:p w14:paraId="69CC3621" w14:textId="77777777" w:rsidR="00FA5E6B" w:rsidRPr="006F6B0C" w:rsidRDefault="00FA5E6B">
            <w:pPr>
              <w:spacing w:line="360" w:lineRule="auto"/>
              <w:rPr>
                <w:rFonts w:ascii="Times New Roman" w:hAnsi="Times New Roman" w:cs="Times New Roman"/>
                <w:sz w:val="24"/>
                <w:szCs w:val="24"/>
              </w:rPr>
            </w:pPr>
          </w:p>
        </w:tc>
        <w:tc>
          <w:tcPr>
            <w:tcW w:w="1037" w:type="dxa"/>
            <w:tcBorders>
              <w:bottom w:val="single" w:sz="4" w:space="0" w:color="auto"/>
            </w:tcBorders>
            <w:shd w:val="clear" w:color="auto" w:fill="auto"/>
            <w:vAlign w:val="center"/>
          </w:tcPr>
          <w:p w14:paraId="5A4575E4" w14:textId="77777777" w:rsidR="00FA5E6B" w:rsidRPr="006F6B0C" w:rsidRDefault="00FA5E6B">
            <w:pPr>
              <w:spacing w:line="360" w:lineRule="auto"/>
              <w:rPr>
                <w:rFonts w:ascii="Times New Roman" w:hAnsi="Times New Roman" w:cs="Times New Roman"/>
                <w:sz w:val="24"/>
                <w:szCs w:val="24"/>
              </w:rPr>
            </w:pPr>
          </w:p>
        </w:tc>
      </w:tr>
      <w:tr w:rsidR="00FA5E6B" w:rsidRPr="006F6B0C" w14:paraId="7C642217" w14:textId="77777777">
        <w:trPr>
          <w:cantSplit/>
        </w:trPr>
        <w:tc>
          <w:tcPr>
            <w:tcW w:w="1985" w:type="dxa"/>
            <w:tcBorders>
              <w:top w:val="single" w:sz="4" w:space="0" w:color="auto"/>
              <w:bottom w:val="single" w:sz="4" w:space="0" w:color="auto"/>
            </w:tcBorders>
            <w:shd w:val="clear" w:color="auto" w:fill="auto"/>
          </w:tcPr>
          <w:p w14:paraId="68EAC0B9" w14:textId="77777777" w:rsidR="00FA5E6B" w:rsidRPr="006F6B0C" w:rsidRDefault="004C586F">
            <w:pPr>
              <w:spacing w:line="360" w:lineRule="auto"/>
              <w:ind w:left="60" w:right="60"/>
              <w:rPr>
                <w:rFonts w:ascii="Times New Roman" w:hAnsi="Times New Roman" w:cs="Times New Roman"/>
                <w:sz w:val="24"/>
                <w:szCs w:val="24"/>
              </w:rPr>
            </w:pPr>
            <w:r w:rsidRPr="006F6B0C">
              <w:rPr>
                <w:rFonts w:ascii="Times New Roman" w:hAnsi="Times New Roman" w:cs="Times New Roman"/>
                <w:sz w:val="24"/>
                <w:szCs w:val="24"/>
              </w:rPr>
              <w:t>Total</w:t>
            </w:r>
          </w:p>
        </w:tc>
        <w:tc>
          <w:tcPr>
            <w:tcW w:w="1486" w:type="dxa"/>
            <w:tcBorders>
              <w:top w:val="single" w:sz="4" w:space="0" w:color="auto"/>
              <w:bottom w:val="single" w:sz="4" w:space="0" w:color="auto"/>
            </w:tcBorders>
            <w:shd w:val="clear" w:color="auto" w:fill="auto"/>
          </w:tcPr>
          <w:p w14:paraId="10F05D64"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20.961</w:t>
            </w:r>
          </w:p>
        </w:tc>
        <w:tc>
          <w:tcPr>
            <w:tcW w:w="1037" w:type="dxa"/>
            <w:tcBorders>
              <w:top w:val="single" w:sz="4" w:space="0" w:color="auto"/>
              <w:bottom w:val="single" w:sz="4" w:space="0" w:color="auto"/>
            </w:tcBorders>
            <w:shd w:val="clear" w:color="auto" w:fill="auto"/>
          </w:tcPr>
          <w:p w14:paraId="703B732E" w14:textId="77777777" w:rsidR="00FA5E6B" w:rsidRPr="006F6B0C" w:rsidRDefault="004C586F">
            <w:pPr>
              <w:spacing w:line="360" w:lineRule="auto"/>
              <w:ind w:left="60" w:right="60"/>
              <w:jc w:val="right"/>
              <w:rPr>
                <w:rFonts w:ascii="Times New Roman" w:hAnsi="Times New Roman" w:cs="Times New Roman"/>
                <w:sz w:val="24"/>
                <w:szCs w:val="24"/>
              </w:rPr>
            </w:pPr>
            <w:r w:rsidRPr="006F6B0C">
              <w:rPr>
                <w:rFonts w:ascii="Times New Roman" w:hAnsi="Times New Roman" w:cs="Times New Roman"/>
                <w:sz w:val="24"/>
                <w:szCs w:val="24"/>
              </w:rPr>
              <w:t>50</w:t>
            </w:r>
          </w:p>
        </w:tc>
        <w:tc>
          <w:tcPr>
            <w:tcW w:w="1424" w:type="dxa"/>
            <w:tcBorders>
              <w:top w:val="single" w:sz="4" w:space="0" w:color="auto"/>
              <w:bottom w:val="single" w:sz="4" w:space="0" w:color="auto"/>
            </w:tcBorders>
            <w:shd w:val="clear" w:color="auto" w:fill="auto"/>
            <w:vAlign w:val="center"/>
          </w:tcPr>
          <w:p w14:paraId="33BEB235" w14:textId="77777777" w:rsidR="00FA5E6B" w:rsidRPr="006F6B0C" w:rsidRDefault="00FA5E6B">
            <w:pPr>
              <w:spacing w:line="360" w:lineRule="auto"/>
              <w:rPr>
                <w:rFonts w:ascii="Times New Roman" w:hAnsi="Times New Roman" w:cs="Times New Roman"/>
                <w:sz w:val="24"/>
                <w:szCs w:val="24"/>
              </w:rPr>
            </w:pPr>
          </w:p>
        </w:tc>
        <w:tc>
          <w:tcPr>
            <w:tcW w:w="1037" w:type="dxa"/>
            <w:tcBorders>
              <w:top w:val="single" w:sz="4" w:space="0" w:color="auto"/>
              <w:bottom w:val="single" w:sz="4" w:space="0" w:color="auto"/>
            </w:tcBorders>
            <w:shd w:val="clear" w:color="auto" w:fill="auto"/>
            <w:vAlign w:val="center"/>
          </w:tcPr>
          <w:p w14:paraId="35C776E4" w14:textId="77777777" w:rsidR="00FA5E6B" w:rsidRPr="006F6B0C" w:rsidRDefault="00FA5E6B">
            <w:pPr>
              <w:spacing w:line="360" w:lineRule="auto"/>
              <w:rPr>
                <w:rFonts w:ascii="Times New Roman" w:hAnsi="Times New Roman" w:cs="Times New Roman"/>
                <w:sz w:val="24"/>
                <w:szCs w:val="24"/>
              </w:rPr>
            </w:pPr>
          </w:p>
        </w:tc>
        <w:tc>
          <w:tcPr>
            <w:tcW w:w="1037" w:type="dxa"/>
            <w:tcBorders>
              <w:top w:val="single" w:sz="4" w:space="0" w:color="auto"/>
              <w:bottom w:val="single" w:sz="4" w:space="0" w:color="auto"/>
            </w:tcBorders>
            <w:shd w:val="clear" w:color="auto" w:fill="auto"/>
            <w:vAlign w:val="center"/>
          </w:tcPr>
          <w:p w14:paraId="4028E849" w14:textId="77777777" w:rsidR="00FA5E6B" w:rsidRPr="006F6B0C" w:rsidRDefault="00FA5E6B">
            <w:pPr>
              <w:spacing w:line="360" w:lineRule="auto"/>
              <w:rPr>
                <w:rFonts w:ascii="Times New Roman" w:hAnsi="Times New Roman" w:cs="Times New Roman"/>
                <w:sz w:val="24"/>
                <w:szCs w:val="24"/>
              </w:rPr>
            </w:pPr>
          </w:p>
        </w:tc>
      </w:tr>
    </w:tbl>
    <w:p w14:paraId="287CC9F0" w14:textId="77777777" w:rsidR="00FA5E6B" w:rsidRPr="006F6B0C" w:rsidRDefault="00FA5E6B">
      <w:pPr>
        <w:pStyle w:val="NoSpacing"/>
        <w:spacing w:line="360" w:lineRule="auto"/>
        <w:jc w:val="both"/>
        <w:rPr>
          <w:rFonts w:ascii="Times New Roman" w:hAnsi="Times New Roman" w:cs="Times New Roman"/>
          <w:b/>
          <w:sz w:val="24"/>
          <w:szCs w:val="24"/>
        </w:rPr>
      </w:pPr>
    </w:p>
    <w:p w14:paraId="565BC025" w14:textId="77777777" w:rsidR="00FA5E6B" w:rsidRPr="006F6B0C" w:rsidRDefault="004C586F">
      <w:pPr>
        <w:pStyle w:val="NoSpacing"/>
        <w:spacing w:line="360" w:lineRule="auto"/>
        <w:ind w:firstLine="720"/>
        <w:jc w:val="both"/>
        <w:rPr>
          <w:rFonts w:ascii="Times New Roman" w:hAnsi="Times New Roman" w:cs="Times New Roman"/>
          <w:bCs/>
          <w:sz w:val="24"/>
          <w:szCs w:val="24"/>
        </w:rPr>
      </w:pPr>
      <w:r w:rsidRPr="006F6B0C">
        <w:rPr>
          <w:rFonts w:ascii="Times New Roman" w:hAnsi="Times New Roman" w:cs="Times New Roman"/>
          <w:bCs/>
          <w:sz w:val="24"/>
          <w:szCs w:val="24"/>
        </w:rPr>
        <w:t>The data presented in Table 6 shows the differences in digital literacy skill acquisition and undergraduate students in Dennis Osadebay University, as analyzed using a one-way ANOVA (Analysis of Variance). The F-value is 0.183 and the p-value (Sig.) is 0.967, which is much greater than the 0.05 significance level. This indicates that there is no statistically significant difference in digital literacy skill acquisition and undergraduate students in Dennis Osadebay University. The null hypothesis is therefore accepted.</w:t>
      </w:r>
    </w:p>
    <w:p w14:paraId="18E741FB" w14:textId="77777777" w:rsidR="00FA5E6B" w:rsidRPr="006F6B0C" w:rsidRDefault="004C586F" w:rsidP="005E7B1B">
      <w:pPr>
        <w:pStyle w:val="NoSpacing"/>
        <w:spacing w:line="360" w:lineRule="auto"/>
        <w:ind w:firstLine="720"/>
        <w:jc w:val="both"/>
        <w:rPr>
          <w:rFonts w:ascii="Times New Roman" w:hAnsi="Times New Roman" w:cs="Times New Roman"/>
          <w:bCs/>
          <w:color w:val="FF0000"/>
          <w:sz w:val="24"/>
          <w:szCs w:val="24"/>
        </w:rPr>
      </w:pPr>
      <w:r w:rsidRPr="006F6B0C">
        <w:rPr>
          <w:rFonts w:ascii="Times New Roman" w:hAnsi="Times New Roman" w:cs="Times New Roman"/>
          <w:bCs/>
          <w:sz w:val="24"/>
          <w:szCs w:val="24"/>
        </w:rPr>
        <w:t xml:space="preserve">In other words, although students from departments such as Fishery and Agriculture, Agricultural Economics, Crop Science, and others may have reported varying experiences, these differences are not large or consistent enough to be considered statistically significant. Therefore, we conclude that departmental affiliation does not significantly influence students’ perceptions in acquiring digital literacy skills at Dennis </w:t>
      </w:r>
      <w:proofErr w:type="spellStart"/>
      <w:r w:rsidRPr="006F6B0C">
        <w:rPr>
          <w:rFonts w:ascii="Times New Roman" w:hAnsi="Times New Roman" w:cs="Times New Roman"/>
          <w:bCs/>
          <w:sz w:val="24"/>
          <w:szCs w:val="24"/>
        </w:rPr>
        <w:t>Osadebay</w:t>
      </w:r>
      <w:proofErr w:type="spellEnd"/>
      <w:r w:rsidRPr="006F6B0C">
        <w:rPr>
          <w:rFonts w:ascii="Times New Roman" w:hAnsi="Times New Roman" w:cs="Times New Roman"/>
          <w:bCs/>
          <w:sz w:val="24"/>
          <w:szCs w:val="24"/>
        </w:rPr>
        <w:t xml:space="preserve"> University</w:t>
      </w:r>
      <w:r w:rsidR="005E7B1B" w:rsidRPr="006F6B0C">
        <w:rPr>
          <w:rFonts w:ascii="Times New Roman" w:hAnsi="Times New Roman" w:cs="Times New Roman"/>
          <w:bCs/>
          <w:color w:val="FF0000"/>
          <w:sz w:val="24"/>
          <w:szCs w:val="24"/>
        </w:rPr>
        <w:t>.</w:t>
      </w:r>
    </w:p>
    <w:p w14:paraId="7ADAFB4B" w14:textId="77777777" w:rsidR="005E7B1B" w:rsidRPr="006F6B0C" w:rsidRDefault="005E7B1B" w:rsidP="005E7B1B">
      <w:pPr>
        <w:pStyle w:val="NoSpacing"/>
        <w:spacing w:line="360" w:lineRule="auto"/>
        <w:ind w:firstLine="720"/>
        <w:jc w:val="both"/>
        <w:rPr>
          <w:rFonts w:ascii="Times New Roman" w:hAnsi="Times New Roman" w:cs="Times New Roman"/>
          <w:bCs/>
          <w:color w:val="FF0000"/>
          <w:sz w:val="24"/>
          <w:szCs w:val="24"/>
        </w:rPr>
      </w:pPr>
    </w:p>
    <w:p w14:paraId="3DE76688" w14:textId="77777777" w:rsidR="00FA5E6B" w:rsidRPr="006F6B0C" w:rsidRDefault="004C586F">
      <w:pPr>
        <w:pStyle w:val="NoSpacing"/>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 xml:space="preserve">Discussion of findings </w:t>
      </w:r>
    </w:p>
    <w:bookmarkEnd w:id="0"/>
    <w:p w14:paraId="715533AA" w14:textId="77777777" w:rsidR="00F73768"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findings illustrate that undergraduate students at Dennis Osadebay University exhibit moderate digital literacy skills, yet demonstrate particular deficiencies in critical e</w:t>
      </w:r>
      <w:r w:rsidR="00F73768" w:rsidRPr="006F6B0C">
        <w:rPr>
          <w:rFonts w:ascii="Times New Roman" w:eastAsia="Times New Roman" w:hAnsi="Times New Roman" w:cs="Times New Roman"/>
          <w:sz w:val="24"/>
          <w:szCs w:val="24"/>
        </w:rPr>
        <w:t xml:space="preserve">valuation and skill application, in relation to the findings of Jing, et al. (2024) which stated that agriculture college students had middle-level information literacy skill. </w:t>
      </w:r>
    </w:p>
    <w:p w14:paraId="6CABECCD" w14:textId="77777777" w:rsidR="00413B7A" w:rsidRPr="006F6B0C" w:rsidRDefault="00F73768">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findings also revealed that Undergraduate students</w:t>
      </w:r>
      <w:r w:rsidR="004C586F" w:rsidRPr="006F6B0C">
        <w:rPr>
          <w:rFonts w:ascii="Times New Roman" w:eastAsia="Times New Roman" w:hAnsi="Times New Roman" w:cs="Times New Roman"/>
          <w:sz w:val="24"/>
          <w:szCs w:val="24"/>
        </w:rPr>
        <w:t xml:space="preserve"> encounter substantial obstacles in developing these skills, which seem to be uniform across various departments</w:t>
      </w:r>
      <w:r w:rsidRPr="006F6B0C">
        <w:rPr>
          <w:rFonts w:ascii="Times New Roman" w:eastAsia="Times New Roman" w:hAnsi="Times New Roman" w:cs="Times New Roman"/>
          <w:sz w:val="24"/>
          <w:szCs w:val="24"/>
        </w:rPr>
        <w:t xml:space="preserve">. </w:t>
      </w:r>
      <w:r w:rsidR="00413B7A" w:rsidRPr="006F6B0C">
        <w:rPr>
          <w:rFonts w:ascii="Times New Roman" w:eastAsia="Times New Roman" w:hAnsi="Times New Roman" w:cs="Times New Roman"/>
          <w:sz w:val="24"/>
          <w:szCs w:val="24"/>
        </w:rPr>
        <w:t xml:space="preserve">In </w:t>
      </w:r>
      <w:r w:rsidRPr="006F6B0C">
        <w:rPr>
          <w:rFonts w:ascii="Times New Roman" w:eastAsia="Times New Roman" w:hAnsi="Times New Roman" w:cs="Times New Roman"/>
          <w:sz w:val="24"/>
          <w:szCs w:val="24"/>
        </w:rPr>
        <w:t xml:space="preserve">Nkansah and </w:t>
      </w:r>
      <w:proofErr w:type="spellStart"/>
      <w:r w:rsidRPr="006F6B0C">
        <w:rPr>
          <w:rFonts w:ascii="Times New Roman" w:eastAsia="Times New Roman" w:hAnsi="Times New Roman" w:cs="Times New Roman"/>
          <w:sz w:val="24"/>
          <w:szCs w:val="24"/>
        </w:rPr>
        <w:t>Oldac</w:t>
      </w:r>
      <w:proofErr w:type="spellEnd"/>
      <w:r w:rsidRPr="006F6B0C">
        <w:rPr>
          <w:rFonts w:ascii="Times New Roman" w:eastAsia="Times New Roman" w:hAnsi="Times New Roman" w:cs="Times New Roman"/>
          <w:sz w:val="24"/>
          <w:szCs w:val="24"/>
        </w:rPr>
        <w:t xml:space="preserve"> (2024) </w:t>
      </w:r>
      <w:r w:rsidR="00413B7A" w:rsidRPr="006F6B0C">
        <w:rPr>
          <w:rFonts w:ascii="Times New Roman" w:eastAsia="Times New Roman" w:hAnsi="Times New Roman" w:cs="Times New Roman"/>
          <w:sz w:val="24"/>
          <w:szCs w:val="24"/>
        </w:rPr>
        <w:t xml:space="preserve">findings, they </w:t>
      </w:r>
      <w:r w:rsidRPr="006F6B0C">
        <w:rPr>
          <w:rFonts w:ascii="Times New Roman" w:eastAsia="Times New Roman" w:hAnsi="Times New Roman" w:cs="Times New Roman"/>
          <w:sz w:val="24"/>
          <w:szCs w:val="24"/>
        </w:rPr>
        <w:t>collected data of 16 undergraduates in a large public university in Ghana in a four-months period. According to their research, various variables cause pupils' digital literacy knowledge and abilities gap. Undergraduates attribute these reasons to global and micro variables. The students attributed their skills gap to personal, parental, institutional, and government factors, pointing to the need for concerted action from national and international policymakers and educators alike</w:t>
      </w:r>
      <w:r w:rsidR="00413B7A" w:rsidRPr="006F6B0C">
        <w:rPr>
          <w:rFonts w:ascii="Times New Roman" w:eastAsia="Times New Roman" w:hAnsi="Times New Roman" w:cs="Times New Roman"/>
          <w:sz w:val="24"/>
          <w:szCs w:val="24"/>
        </w:rPr>
        <w:t>.</w:t>
      </w:r>
    </w:p>
    <w:p w14:paraId="1AA871FB" w14:textId="77777777" w:rsidR="000E1894" w:rsidRPr="006F6B0C" w:rsidRDefault="004C586F" w:rsidP="000E1894">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 xml:space="preserve">The students acknowledge potential strategies for enhancement, indicating an awareness of the necessity for improved digital literacy support. </w:t>
      </w:r>
      <w:proofErr w:type="spellStart"/>
      <w:r w:rsidR="000E1894" w:rsidRPr="006F6B0C">
        <w:rPr>
          <w:rFonts w:ascii="Times New Roman" w:eastAsia="Times New Roman" w:hAnsi="Times New Roman" w:cs="Times New Roman"/>
          <w:sz w:val="24"/>
          <w:szCs w:val="24"/>
        </w:rPr>
        <w:t>Aydınlar</w:t>
      </w:r>
      <w:proofErr w:type="spellEnd"/>
      <w:r w:rsidR="000E1894" w:rsidRPr="006F6B0C">
        <w:rPr>
          <w:rFonts w:ascii="Times New Roman" w:eastAsia="Times New Roman" w:hAnsi="Times New Roman" w:cs="Times New Roman"/>
          <w:sz w:val="24"/>
          <w:szCs w:val="24"/>
        </w:rPr>
        <w:t xml:space="preserve"> et al. (2024) in their study </w:t>
      </w:r>
      <w:r w:rsidR="000E1894" w:rsidRPr="006F6B0C">
        <w:rPr>
          <w:rFonts w:ascii="Times New Roman" w:eastAsia="Times New Roman" w:hAnsi="Times New Roman" w:cs="Times New Roman"/>
          <w:sz w:val="24"/>
          <w:szCs w:val="24"/>
        </w:rPr>
        <w:lastRenderedPageBreak/>
        <w:t>recommended assessing digital literacy in first-year university students due to unequal computer science instruction in middle and high school. Digital literacy can be promoted in health-based undergraduate education, especially for women. They also recommend redesigning academic programs to allow more time for digital literacy in healthcare students' already busy schedules to better prepare them for the age of rapidly changing technology.</w:t>
      </w:r>
    </w:p>
    <w:p w14:paraId="4B296740" w14:textId="77777777" w:rsidR="00FA5E6B" w:rsidRPr="006F6B0C" w:rsidRDefault="004C586F" w:rsidP="000E1894">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absence of notable disparities in both skill levels and perceived challenges among departments suggests institutional factors affecting the acquisition of digital literacy.</w:t>
      </w:r>
    </w:p>
    <w:p w14:paraId="0E6ADD84" w14:textId="77777777" w:rsidR="00FA5E6B" w:rsidRPr="006F6B0C" w:rsidRDefault="004C586F">
      <w:pPr>
        <w:spacing w:line="360" w:lineRule="auto"/>
        <w:rPr>
          <w:rFonts w:ascii="Times New Roman" w:eastAsia="Times New Roman" w:hAnsi="Times New Roman" w:cs="Times New Roman"/>
          <w:b/>
          <w:sz w:val="24"/>
          <w:szCs w:val="24"/>
        </w:rPr>
      </w:pPr>
      <w:r w:rsidRPr="006F6B0C">
        <w:rPr>
          <w:rFonts w:ascii="Times New Roman" w:eastAsia="Times New Roman" w:hAnsi="Times New Roman" w:cs="Times New Roman"/>
          <w:b/>
          <w:sz w:val="24"/>
          <w:szCs w:val="24"/>
        </w:rPr>
        <w:t>Conclusion</w:t>
      </w:r>
    </w:p>
    <w:p w14:paraId="34C0CD92" w14:textId="77777777" w:rsidR="00FA5E6B" w:rsidRPr="006F6B0C" w:rsidRDefault="004C586F">
      <w:pPr>
        <w:spacing w:line="360" w:lineRule="auto"/>
        <w:ind w:firstLine="720"/>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The study discovered significant challenges affecting the attainment of digital literacy, including restricted access to resources, deficient information literacy abilities, inadequate training, infrastructural deficiencies, and financial limitations. No substantial differences were observed in digital literacy levels or perceived obstacles among various academic fields. This indicates that the determinants of digital literacy are probably</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pervasive</w:t>
      </w:r>
      <w:r w:rsidRPr="006F6B0C">
        <w:rPr>
          <w:rFonts w:ascii="Times New Roman" w:eastAsia="Times New Roman" w:hAnsi="Times New Roman" w:cs="Times New Roman"/>
          <w:color w:val="FF0000"/>
          <w:sz w:val="24"/>
          <w:szCs w:val="24"/>
        </w:rPr>
        <w:t xml:space="preserve"> </w:t>
      </w:r>
      <w:r w:rsidRPr="006F6B0C">
        <w:rPr>
          <w:rFonts w:ascii="Times New Roman" w:eastAsia="Times New Roman" w:hAnsi="Times New Roman" w:cs="Times New Roman"/>
          <w:sz w:val="24"/>
          <w:szCs w:val="24"/>
        </w:rPr>
        <w:t>throughout the institution. The students acknowledge the necessity for initiatives including enhanced internet access, incorporation of digital literacy into the curriculum, training se</w:t>
      </w:r>
      <w:r w:rsidR="00765799" w:rsidRPr="006F6B0C">
        <w:rPr>
          <w:rFonts w:ascii="Times New Roman" w:eastAsia="Times New Roman" w:hAnsi="Times New Roman" w:cs="Times New Roman"/>
          <w:sz w:val="24"/>
          <w:szCs w:val="24"/>
        </w:rPr>
        <w:t>ssions, and superior equipment.</w:t>
      </w:r>
    </w:p>
    <w:p w14:paraId="639B31DA" w14:textId="77777777" w:rsidR="00FA5E6B" w:rsidRPr="006F6B0C" w:rsidRDefault="004C586F">
      <w:pPr>
        <w:pStyle w:val="NoSpacing"/>
        <w:spacing w:line="360" w:lineRule="auto"/>
        <w:jc w:val="both"/>
        <w:rPr>
          <w:rFonts w:ascii="Times New Roman" w:hAnsi="Times New Roman" w:cs="Times New Roman"/>
          <w:b/>
          <w:sz w:val="24"/>
          <w:szCs w:val="24"/>
        </w:rPr>
      </w:pPr>
      <w:r w:rsidRPr="006F6B0C">
        <w:rPr>
          <w:rFonts w:ascii="Times New Roman" w:hAnsi="Times New Roman" w:cs="Times New Roman"/>
          <w:b/>
          <w:sz w:val="24"/>
          <w:szCs w:val="24"/>
        </w:rPr>
        <w:t>Recommendations</w:t>
      </w:r>
    </w:p>
    <w:p w14:paraId="53D473E7" w14:textId="77777777" w:rsidR="00FA5E6B" w:rsidRPr="006F6B0C" w:rsidRDefault="004C586F">
      <w:pPr>
        <w:pStyle w:val="NoSpacing"/>
        <w:spacing w:line="360" w:lineRule="auto"/>
        <w:jc w:val="both"/>
        <w:rPr>
          <w:rFonts w:ascii="Times New Roman" w:hAnsi="Times New Roman" w:cs="Times New Roman"/>
          <w:sz w:val="24"/>
          <w:szCs w:val="24"/>
        </w:rPr>
      </w:pPr>
      <w:r w:rsidRPr="006F6B0C">
        <w:rPr>
          <w:rFonts w:ascii="Times New Roman" w:hAnsi="Times New Roman" w:cs="Times New Roman"/>
          <w:sz w:val="24"/>
          <w:szCs w:val="24"/>
        </w:rPr>
        <w:t>Based on the findings derived from this study, the following recommendations are proposed:</w:t>
      </w:r>
    </w:p>
    <w:p w14:paraId="186F3A7D" w14:textId="77777777" w:rsidR="00FA5E6B" w:rsidRPr="006F6B0C" w:rsidRDefault="004C586F">
      <w:pPr>
        <w:pStyle w:val="ListParagraph"/>
        <w:numPr>
          <w:ilvl w:val="0"/>
          <w:numId w:val="20"/>
        </w:numPr>
        <w:spacing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Create and execute clear digital literacy courses or modules across all academic fields.</w:t>
      </w:r>
    </w:p>
    <w:p w14:paraId="7E239184" w14:textId="77777777" w:rsidR="00FA5E6B" w:rsidRPr="006F6B0C" w:rsidRDefault="004C586F">
      <w:pPr>
        <w:pStyle w:val="ListParagraph"/>
        <w:numPr>
          <w:ilvl w:val="0"/>
          <w:numId w:val="20"/>
        </w:numPr>
        <w:spacing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Ensure access to contemporary and properly maintained computers, laptops, and appropriate software in libraries and departmental computer laboratories.</w:t>
      </w:r>
    </w:p>
    <w:p w14:paraId="3592796D" w14:textId="77777777" w:rsidR="00FA5E6B" w:rsidRPr="006F6B0C" w:rsidRDefault="004C586F">
      <w:pPr>
        <w:pStyle w:val="ListParagraph"/>
        <w:numPr>
          <w:ilvl w:val="0"/>
          <w:numId w:val="20"/>
        </w:numPr>
        <w:spacing w:line="360" w:lineRule="auto"/>
        <w:rPr>
          <w:rFonts w:ascii="Times New Roman" w:eastAsia="Times New Roman" w:hAnsi="Times New Roman" w:cs="Times New Roman"/>
          <w:sz w:val="24"/>
          <w:szCs w:val="24"/>
        </w:rPr>
      </w:pPr>
      <w:r w:rsidRPr="006F6B0C">
        <w:rPr>
          <w:rFonts w:ascii="Times New Roman" w:eastAsia="Times New Roman" w:hAnsi="Times New Roman" w:cs="Times New Roman"/>
          <w:sz w:val="24"/>
          <w:szCs w:val="24"/>
        </w:rPr>
        <w:t>Conduct regular workshops and training sessions that target specific digital skills identified as weaknesses, including database searching, metadata development, digital content creation, and citation management.</w:t>
      </w:r>
    </w:p>
    <w:p w14:paraId="4F4929D5" w14:textId="77777777" w:rsidR="00FA5E6B" w:rsidRPr="006F6B0C" w:rsidRDefault="00FA5E6B">
      <w:pPr>
        <w:pStyle w:val="ListParagraph"/>
        <w:spacing w:line="360" w:lineRule="auto"/>
        <w:rPr>
          <w:rFonts w:ascii="Times New Roman" w:eastAsia="Times New Roman" w:hAnsi="Times New Roman" w:cs="Times New Roman"/>
          <w:sz w:val="24"/>
          <w:szCs w:val="24"/>
        </w:rPr>
      </w:pPr>
    </w:p>
    <w:p w14:paraId="44D6A50C" w14:textId="77777777" w:rsidR="0080376D" w:rsidRPr="006F6B0C" w:rsidRDefault="0080376D">
      <w:pPr>
        <w:pStyle w:val="NormalWeb"/>
        <w:spacing w:line="360" w:lineRule="auto"/>
        <w:rPr>
          <w:rStyle w:val="Strong"/>
          <w:rFonts w:eastAsia="Arial"/>
        </w:rPr>
      </w:pPr>
    </w:p>
    <w:p w14:paraId="7986A0F0" w14:textId="77777777" w:rsidR="0080376D" w:rsidRPr="006F6B0C" w:rsidRDefault="0080376D">
      <w:pPr>
        <w:pStyle w:val="NormalWeb"/>
        <w:spacing w:line="360" w:lineRule="auto"/>
        <w:rPr>
          <w:rStyle w:val="Strong"/>
          <w:rFonts w:eastAsia="Arial"/>
        </w:rPr>
      </w:pPr>
    </w:p>
    <w:p w14:paraId="3CD90063" w14:textId="77777777" w:rsidR="0080376D" w:rsidRPr="006F6B0C" w:rsidRDefault="0080376D">
      <w:pPr>
        <w:pStyle w:val="NormalWeb"/>
        <w:spacing w:line="360" w:lineRule="auto"/>
        <w:rPr>
          <w:rStyle w:val="Strong"/>
          <w:rFonts w:eastAsia="Arial"/>
        </w:rPr>
      </w:pPr>
    </w:p>
    <w:p w14:paraId="6BF0B0B3" w14:textId="77777777" w:rsidR="00123524" w:rsidRPr="006F6B0C" w:rsidRDefault="004C586F">
      <w:pPr>
        <w:pStyle w:val="NormalWeb"/>
        <w:spacing w:line="360" w:lineRule="auto"/>
      </w:pPr>
      <w:r w:rsidRPr="006F6B0C">
        <w:rPr>
          <w:rStyle w:val="Strong"/>
          <w:rFonts w:eastAsia="Arial"/>
        </w:rPr>
        <w:lastRenderedPageBreak/>
        <w:t>References</w:t>
      </w:r>
    </w:p>
    <w:p w14:paraId="0BB7C1F6" w14:textId="77777777" w:rsidR="00FA5E6B" w:rsidRPr="006F6B0C" w:rsidRDefault="004C586F">
      <w:pPr>
        <w:pStyle w:val="NormalWeb"/>
        <w:spacing w:line="360" w:lineRule="auto"/>
      </w:pPr>
      <w:proofErr w:type="spellStart"/>
      <w:r w:rsidRPr="006F6B0C">
        <w:t>Aydınlar</w:t>
      </w:r>
      <w:proofErr w:type="spellEnd"/>
      <w:r w:rsidRPr="006F6B0C">
        <w:t xml:space="preserve">, A., Mavi, A., Kütükçü, E., Kırımlı, E., Alış, D., Akın, A., &amp; Altıntaş, L. (2024). Awareness and level of digital literacy among students receiving health-based education. </w:t>
      </w:r>
      <w:r w:rsidRPr="006F6B0C">
        <w:rPr>
          <w:rStyle w:val="Emphasis"/>
        </w:rPr>
        <w:t>BMC Medical Education</w:t>
      </w:r>
      <w:r w:rsidRPr="006F6B0C">
        <w:t xml:space="preserve">, </w:t>
      </w:r>
      <w:r w:rsidRPr="006F6B0C">
        <w:rPr>
          <w:rStyle w:val="Emphasis"/>
        </w:rPr>
        <w:t>24</w:t>
      </w:r>
      <w:r w:rsidRPr="006F6B0C">
        <w:t xml:space="preserve">, 38. </w:t>
      </w:r>
      <w:hyperlink w:tgtFrame="_blank" w:history="1">
        <w:r w:rsidRPr="006F6B0C">
          <w:rPr>
            <w:rStyle w:val="Hyperlink"/>
            <w:rFonts w:eastAsia="Arial"/>
            <w:color w:val="auto"/>
          </w:rPr>
          <w:t>https://doi.org/10.1186/s12909-024-05025-w</w:t>
        </w:r>
      </w:hyperlink>
    </w:p>
    <w:p w14:paraId="2398A275" w14:textId="77777777" w:rsidR="00FA5E6B" w:rsidRPr="006F6B0C" w:rsidRDefault="004C586F">
      <w:pPr>
        <w:pStyle w:val="NormalWeb"/>
        <w:spacing w:line="360" w:lineRule="auto"/>
      </w:pPr>
      <w:r w:rsidRPr="006F6B0C">
        <w:t xml:space="preserve">Dennis Osadebay </w:t>
      </w:r>
      <w:r w:rsidR="00123524" w:rsidRPr="006F6B0C">
        <w:t>University. (2023). Faculty of agriculture h</w:t>
      </w:r>
      <w:r w:rsidRPr="006F6B0C">
        <w:t xml:space="preserve">andbook. </w:t>
      </w:r>
    </w:p>
    <w:p w14:paraId="319D1CCD" w14:textId="77777777" w:rsidR="00FA5E6B" w:rsidRPr="006F6B0C" w:rsidRDefault="004C586F">
      <w:pPr>
        <w:pStyle w:val="NormalWeb"/>
        <w:spacing w:line="360" w:lineRule="auto"/>
        <w:rPr>
          <w:i/>
        </w:rPr>
      </w:pPr>
      <w:r w:rsidRPr="006F6B0C">
        <w:t xml:space="preserve">Federal Ministry of Agriculture and Rural Development. (2022). </w:t>
      </w:r>
      <w:r w:rsidRPr="006F6B0C">
        <w:rPr>
          <w:rStyle w:val="Emphasis"/>
          <w:i w:val="0"/>
        </w:rPr>
        <w:t>National Agricultural Technological and Innovation Policy (NATIP)</w:t>
      </w:r>
      <w:r w:rsidRPr="006F6B0C">
        <w:rPr>
          <w:i/>
        </w:rPr>
        <w:t xml:space="preserve">. </w:t>
      </w:r>
      <w:hyperlink w:tgtFrame="_blank" w:history="1">
        <w:r w:rsidRPr="006F6B0C">
          <w:rPr>
            <w:rStyle w:val="Hyperlink"/>
            <w:rFonts w:eastAsia="Arial"/>
            <w:i/>
            <w:color w:val="auto"/>
          </w:rPr>
          <w:t>https://faole.fao.org/docs/pdf/nig214137.pdf</w:t>
        </w:r>
      </w:hyperlink>
    </w:p>
    <w:p w14:paraId="7366A415" w14:textId="77777777" w:rsidR="00FA5E6B" w:rsidRPr="006F6B0C" w:rsidRDefault="004C586F">
      <w:pPr>
        <w:pStyle w:val="NormalWeb"/>
        <w:spacing w:line="360" w:lineRule="auto"/>
      </w:pPr>
      <w:r w:rsidRPr="006F6B0C">
        <w:t xml:space="preserve">Jing, Q., Panyadee, C., Kaewtip, S., &amp; Yossuck, P. (2024). The level of information literacy and its influencing factors of agricultural students in higher education of Yunnan, China. </w:t>
      </w:r>
      <w:r w:rsidRPr="006F6B0C">
        <w:rPr>
          <w:rStyle w:val="Emphasis"/>
        </w:rPr>
        <w:t>Maejo Journal of Agricultural Production</w:t>
      </w:r>
      <w:r w:rsidRPr="006F6B0C">
        <w:t xml:space="preserve">, </w:t>
      </w:r>
      <w:r w:rsidRPr="006F6B0C">
        <w:rPr>
          <w:rStyle w:val="Emphasis"/>
        </w:rPr>
        <w:t>6</w:t>
      </w:r>
      <w:r w:rsidRPr="006F6B0C">
        <w:t xml:space="preserve">(3), 30–38. </w:t>
      </w:r>
      <w:hyperlink w:tgtFrame="_blank" w:history="1">
        <w:r w:rsidRPr="006F6B0C">
          <w:rPr>
            <w:rStyle w:val="Hyperlink"/>
            <w:rFonts w:eastAsia="Arial"/>
            <w:color w:val="auto"/>
          </w:rPr>
          <w:t>https://li01.tci-thaijo.org/index.php/japmju/article/view/265187</w:t>
        </w:r>
      </w:hyperlink>
    </w:p>
    <w:p w14:paraId="43B1C200" w14:textId="77777777" w:rsidR="00FA5E6B" w:rsidRPr="006F6B0C" w:rsidRDefault="004C586F">
      <w:pPr>
        <w:pStyle w:val="NormalWeb"/>
        <w:spacing w:line="360" w:lineRule="auto"/>
      </w:pPr>
      <w:r w:rsidRPr="006F6B0C">
        <w:t xml:space="preserve">Luai, A. F., Sabri, B. A. M., &amp; Mohd Radzi, N. A. (2024). Levels and predictors of digital literacy skills among dental students: A multi-institutional study in malaysia. </w:t>
      </w:r>
      <w:r w:rsidRPr="006F6B0C">
        <w:rPr>
          <w:rStyle w:val="Emphasis"/>
        </w:rPr>
        <w:t>Malaysian Journal of Medicine &amp; Health Sciences</w:t>
      </w:r>
      <w:r w:rsidRPr="006F6B0C">
        <w:t xml:space="preserve">, </w:t>
      </w:r>
      <w:r w:rsidRPr="006F6B0C">
        <w:rPr>
          <w:rStyle w:val="Emphasis"/>
        </w:rPr>
        <w:t>20</w:t>
      </w:r>
      <w:r w:rsidRPr="006F6B0C">
        <w:t xml:space="preserve">(6). </w:t>
      </w:r>
      <w:hyperlink w:tgtFrame="_blank" w:history="1">
        <w:r w:rsidRPr="006F6B0C">
          <w:rPr>
            <w:rStyle w:val="Hyperlink"/>
            <w:rFonts w:eastAsia="Arial"/>
            <w:color w:val="auto"/>
          </w:rPr>
          <w:t>https://medic.upm.edu.my/upload/dokumen/2024113011393625_MJMHS_0545.pdf</w:t>
        </w:r>
      </w:hyperlink>
    </w:p>
    <w:p w14:paraId="156C43F5" w14:textId="77777777" w:rsidR="00FA5E6B" w:rsidRPr="006F6B0C" w:rsidRDefault="004C586F">
      <w:pPr>
        <w:pStyle w:val="NormalWeb"/>
        <w:spacing w:line="360" w:lineRule="auto"/>
      </w:pPr>
      <w:r w:rsidRPr="006F6B0C">
        <w:t xml:space="preserve">Lyu, Q., Dai, X., Ni, J.-Q., Wang, F., Xi, L., An, X., &amp; Kaiyng, W. (2024). Embracing digital transformation in animal science education: Exploring students’ digital self-efficacy, technological literacy, and perspectives of curriculum updates. </w:t>
      </w:r>
      <w:r w:rsidRPr="006F6B0C">
        <w:rPr>
          <w:rStyle w:val="Emphasis"/>
        </w:rPr>
        <w:t>Education and Information Technologies</w:t>
      </w:r>
      <w:r w:rsidRPr="006F6B0C">
        <w:t xml:space="preserve">. </w:t>
      </w:r>
      <w:hyperlink w:tgtFrame="_blank" w:history="1">
        <w:r w:rsidRPr="006F6B0C">
          <w:rPr>
            <w:rStyle w:val="Hyperlink"/>
            <w:rFonts w:eastAsia="Arial"/>
            <w:color w:val="auto"/>
          </w:rPr>
          <w:t>https://doi.org/10.1007/s10639-024-13233-6</w:t>
        </w:r>
      </w:hyperlink>
    </w:p>
    <w:p w14:paraId="7577CC31" w14:textId="77777777" w:rsidR="00FA5E6B" w:rsidRPr="006F6B0C" w:rsidRDefault="004C586F">
      <w:pPr>
        <w:pStyle w:val="NormalWeb"/>
        <w:spacing w:line="360" w:lineRule="auto"/>
      </w:pPr>
      <w:r w:rsidRPr="006F6B0C">
        <w:t xml:space="preserve">Milancovic, L. S., Pădurean, A., &amp; Ursa, A. (2023). Importance and impact of modern languages and education in agriculture. </w:t>
      </w:r>
      <w:r w:rsidRPr="006F6B0C">
        <w:rPr>
          <w:rStyle w:val="Emphasis"/>
        </w:rPr>
        <w:t>Research Journal of Agricultural Science</w:t>
      </w:r>
      <w:r w:rsidRPr="006F6B0C">
        <w:t xml:space="preserve">, </w:t>
      </w:r>
      <w:r w:rsidRPr="006F6B0C">
        <w:rPr>
          <w:rStyle w:val="Emphasis"/>
        </w:rPr>
        <w:t>55</w:t>
      </w:r>
      <w:r w:rsidRPr="006F6B0C">
        <w:t xml:space="preserve">(3). </w:t>
      </w:r>
      <w:hyperlink w:tgtFrame="_blank" w:history="1">
        <w:r w:rsidRPr="006F6B0C">
          <w:rPr>
            <w:rStyle w:val="Hyperlink"/>
            <w:rFonts w:eastAsia="Arial"/>
            <w:color w:val="auto"/>
          </w:rPr>
          <w:t>https://rjas.ro/download/paper_version.paper_file.9f55d46a2edf606b.UGHImWNhbMSDdS5wZGY%3D.pdf</w:t>
        </w:r>
      </w:hyperlink>
    </w:p>
    <w:p w14:paraId="0FE16ADD" w14:textId="77777777" w:rsidR="00FA5E6B" w:rsidRPr="006F6B0C" w:rsidRDefault="000748B0">
      <w:pPr>
        <w:pStyle w:val="NormalWeb"/>
        <w:spacing w:line="360" w:lineRule="auto"/>
      </w:pPr>
      <w:r w:rsidRPr="006F6B0C">
        <w:t>Mokhtari, F</w:t>
      </w:r>
      <w:r w:rsidR="004C586F" w:rsidRPr="006F6B0C">
        <w:t xml:space="preserve">. (2023). Fostering digital literacy in Higher Education: Benefits, Challenges, and Implications. </w:t>
      </w:r>
      <w:r w:rsidR="004C586F" w:rsidRPr="006F6B0C">
        <w:rPr>
          <w:rStyle w:val="Emphasis"/>
        </w:rPr>
        <w:t>Journal of Linguistics, Literatures and Translation (IJLLT)</w:t>
      </w:r>
      <w:r w:rsidR="004C586F" w:rsidRPr="006F6B0C">
        <w:t xml:space="preserve">, </w:t>
      </w:r>
      <w:r w:rsidR="004C586F" w:rsidRPr="006F6B0C">
        <w:rPr>
          <w:rStyle w:val="Emphasis"/>
        </w:rPr>
        <w:t>6</w:t>
      </w:r>
      <w:r w:rsidR="004C586F" w:rsidRPr="006F6B0C">
        <w:t xml:space="preserve">(10), 160-167. </w:t>
      </w:r>
      <w:hyperlink w:history="1">
        <w:r w:rsidRPr="006F6B0C">
          <w:rPr>
            <w:rStyle w:val="Hyperlink"/>
            <w:rFonts w:eastAsia="Arial"/>
            <w:color w:val="auto"/>
          </w:rPr>
          <w:t>https://www.google.com/search?q=https://www.alkindipublisher.com/index.php/ijllt/article/view/5737</w:t>
        </w:r>
      </w:hyperlink>
    </w:p>
    <w:p w14:paraId="55CD6BE3" w14:textId="77777777" w:rsidR="00FA5E6B" w:rsidRPr="006F6B0C" w:rsidRDefault="004C586F">
      <w:pPr>
        <w:pStyle w:val="NormalWeb"/>
        <w:spacing w:line="360" w:lineRule="auto"/>
      </w:pPr>
      <w:r w:rsidRPr="006F6B0C">
        <w:t xml:space="preserve">Nkansah, J. O., &amp; Oldac, Y. I. (2024). Unraveling the attributions of digital literacy skills and knowledge gap in Ghana’s higher education: Undergraduate students voices in a phenomenological study. </w:t>
      </w:r>
      <w:r w:rsidRPr="006F6B0C">
        <w:rPr>
          <w:rStyle w:val="Emphasis"/>
        </w:rPr>
        <w:t>Education and Information Technologies</w:t>
      </w:r>
      <w:r w:rsidRPr="006F6B0C">
        <w:t xml:space="preserve">, </w:t>
      </w:r>
      <w:r w:rsidRPr="006F6B0C">
        <w:rPr>
          <w:rStyle w:val="Emphasis"/>
        </w:rPr>
        <w:t>29</w:t>
      </w:r>
      <w:r w:rsidRPr="006F6B0C">
        <w:t xml:space="preserve">, 15249–15268. </w:t>
      </w:r>
      <w:hyperlink w:tgtFrame="_blank" w:history="1">
        <w:r w:rsidRPr="006F6B0C">
          <w:rPr>
            <w:rStyle w:val="Hyperlink"/>
            <w:rFonts w:eastAsia="Arial"/>
            <w:color w:val="auto"/>
          </w:rPr>
          <w:t>https://doi.org/10.1007/s10639-024-12483-8</w:t>
        </w:r>
      </w:hyperlink>
    </w:p>
    <w:p w14:paraId="44B0C7DE" w14:textId="77777777" w:rsidR="00FA5E6B" w:rsidRPr="006F6B0C" w:rsidRDefault="004C586F">
      <w:pPr>
        <w:pStyle w:val="NormalWeb"/>
        <w:spacing w:line="360" w:lineRule="auto"/>
      </w:pPr>
      <w:r w:rsidRPr="006F6B0C">
        <w:t xml:space="preserve">Onebunne, I. J. (2022). Education in the 21st century. </w:t>
      </w:r>
      <w:r w:rsidRPr="006F6B0C">
        <w:rPr>
          <w:rStyle w:val="Emphasis"/>
        </w:rPr>
        <w:t>Nnadiebube Journal of Education in Africa</w:t>
      </w:r>
      <w:r w:rsidRPr="006F6B0C">
        <w:t xml:space="preserve">, </w:t>
      </w:r>
      <w:r w:rsidRPr="006F6B0C">
        <w:rPr>
          <w:rStyle w:val="Emphasis"/>
        </w:rPr>
        <w:t>7</w:t>
      </w:r>
      <w:r w:rsidRPr="006F6B0C">
        <w:t xml:space="preserve">(1). </w:t>
      </w:r>
      <w:hyperlink w:tgtFrame="_blank" w:history="1">
        <w:r w:rsidRPr="006F6B0C">
          <w:rPr>
            <w:rStyle w:val="Hyperlink"/>
            <w:rFonts w:eastAsia="Arial"/>
            <w:color w:val="auto"/>
          </w:rPr>
          <w:t>https://www.acjol.org/index.php/njea/article/view/2913/2882</w:t>
        </w:r>
      </w:hyperlink>
    </w:p>
    <w:p w14:paraId="4CF078C6" w14:textId="77777777" w:rsidR="00FA5E6B" w:rsidRPr="006F6B0C" w:rsidRDefault="004C586F">
      <w:pPr>
        <w:pStyle w:val="NormalWeb"/>
        <w:spacing w:line="360" w:lineRule="auto"/>
      </w:pPr>
      <w:r w:rsidRPr="006F6B0C">
        <w:t>Rad,</w:t>
      </w:r>
      <w:r w:rsidR="000748B0" w:rsidRPr="006F6B0C">
        <w:t xml:space="preserve"> H</w:t>
      </w:r>
      <w:r w:rsidRPr="006F6B0C">
        <w:t xml:space="preserve">., Alipour, J., Jafarpour, A., &amp; Hashemian, M. (2024). Unlocking the magic of digital adaptivity: Unleashing students' writing skills and self-determination motivation through digital literacy instruction. </w:t>
      </w:r>
      <w:r w:rsidRPr="006F6B0C">
        <w:rPr>
          <w:rStyle w:val="Emphasis"/>
        </w:rPr>
        <w:t>System</w:t>
      </w:r>
      <w:r w:rsidRPr="006F6B0C">
        <w:t xml:space="preserve">, </w:t>
      </w:r>
      <w:r w:rsidRPr="006F6B0C">
        <w:rPr>
          <w:rStyle w:val="Emphasis"/>
        </w:rPr>
        <w:t>125</w:t>
      </w:r>
      <w:r w:rsidRPr="006F6B0C">
        <w:t xml:space="preserve">, 103454. </w:t>
      </w:r>
      <w:hyperlink w:tgtFrame="_blank" w:history="1">
        <w:r w:rsidRPr="006F6B0C">
          <w:rPr>
            <w:rStyle w:val="Hyperlink"/>
            <w:rFonts w:eastAsia="Arial"/>
            <w:color w:val="auto"/>
          </w:rPr>
          <w:t>https://www.sciencedirect.com/science/article/pii/S0346251X24002367</w:t>
        </w:r>
      </w:hyperlink>
    </w:p>
    <w:p w14:paraId="405617B3" w14:textId="77777777" w:rsidR="00FA5E6B" w:rsidRPr="006F6B0C" w:rsidRDefault="00CF3A47">
      <w:pPr>
        <w:pStyle w:val="NormalWeb"/>
        <w:spacing w:line="360" w:lineRule="auto"/>
      </w:pPr>
      <w:r w:rsidRPr="006F6B0C">
        <w:t>Reddy</w:t>
      </w:r>
      <w:proofErr w:type="gramStart"/>
      <w:r w:rsidRPr="006F6B0C">
        <w:t>, .P</w:t>
      </w:r>
      <w:proofErr w:type="gramEnd"/>
      <w:r w:rsidRPr="006F6B0C">
        <w:t>, Chaudhary</w:t>
      </w:r>
      <w:r w:rsidR="004C586F" w:rsidRPr="006F6B0C">
        <w:t>,</w:t>
      </w:r>
      <w:r w:rsidRPr="006F6B0C">
        <w:t xml:space="preserve"> K. &amp; Hussein, .S. </w:t>
      </w:r>
      <w:r w:rsidR="004C586F" w:rsidRPr="006F6B0C">
        <w:t xml:space="preserve">(2023). A digital literacy model to narrow the digital literacy skills gap. </w:t>
      </w:r>
      <w:r w:rsidR="004C586F" w:rsidRPr="006F6B0C">
        <w:rPr>
          <w:rStyle w:val="Emphasis"/>
        </w:rPr>
        <w:t>Heliyon</w:t>
      </w:r>
      <w:r w:rsidR="004C586F" w:rsidRPr="006F6B0C">
        <w:t xml:space="preserve">, </w:t>
      </w:r>
      <w:r w:rsidR="004C586F" w:rsidRPr="006F6B0C">
        <w:rPr>
          <w:rStyle w:val="Emphasis"/>
        </w:rPr>
        <w:t>9</w:t>
      </w:r>
      <w:r w:rsidR="004C586F" w:rsidRPr="006F6B0C">
        <w:t xml:space="preserve">(4). </w:t>
      </w:r>
      <w:hyperlink w:tgtFrame="_blank" w:history="1">
        <w:r w:rsidR="004C586F" w:rsidRPr="006F6B0C">
          <w:rPr>
            <w:rStyle w:val="Hyperlink"/>
            <w:rFonts w:eastAsia="Arial"/>
            <w:color w:val="auto"/>
          </w:rPr>
          <w:t>https://www.cell.com/heliyon/fulltext/S2405-8440(23)02085-6</w:t>
        </w:r>
      </w:hyperlink>
    </w:p>
    <w:p w14:paraId="41D80AB7" w14:textId="77777777" w:rsidR="00FA5E6B" w:rsidRPr="006F6B0C" w:rsidRDefault="00721FBA">
      <w:pPr>
        <w:pStyle w:val="NormalWeb"/>
        <w:spacing w:line="360" w:lineRule="auto"/>
      </w:pPr>
      <w:proofErr w:type="spellStart"/>
      <w:r w:rsidRPr="006F6B0C">
        <w:t>Rohtash</w:t>
      </w:r>
      <w:proofErr w:type="spellEnd"/>
      <w:r w:rsidRPr="006F6B0C">
        <w:t xml:space="preserve">, K., Rakesh, </w:t>
      </w:r>
      <w:proofErr w:type="gramStart"/>
      <w:r w:rsidRPr="006F6B0C">
        <w:t>K.,,</w:t>
      </w:r>
      <w:proofErr w:type="gramEnd"/>
      <w:r w:rsidRPr="006F6B0C">
        <w:t xml:space="preserve"> Jasveer, S., Sandeep, K., &amp; Shubham</w:t>
      </w:r>
      <w:r w:rsidR="004C586F" w:rsidRPr="006F6B0C">
        <w:t xml:space="preserve"> (2023). Role of Information Communication Technology (ICTs) in Modern Agriculture, Chapter 5 (pp. 71-89). In </w:t>
      </w:r>
      <w:r w:rsidR="004C586F" w:rsidRPr="006F6B0C">
        <w:rPr>
          <w:rStyle w:val="Emphasis"/>
        </w:rPr>
        <w:t>Emerging Trends in Agriculture Extension</w:t>
      </w:r>
      <w:r w:rsidR="004C586F" w:rsidRPr="006F6B0C">
        <w:t xml:space="preserve">. </w:t>
      </w:r>
      <w:hyperlink w:tgtFrame="_blank" w:history="1">
        <w:r w:rsidR="004C586F" w:rsidRPr="006F6B0C">
          <w:rPr>
            <w:rStyle w:val="Hyperlink"/>
            <w:rFonts w:eastAsia="Arial"/>
            <w:color w:val="auto"/>
          </w:rPr>
          <w:t>https://www.google.com/search?q=https://www.researchgate.net/profile/Baireneni-Navya-2/publication/379268328_Emerging_Trends_inAgricultureExtension.pdf%23page%3D73</w:t>
        </w:r>
      </w:hyperlink>
    </w:p>
    <w:p w14:paraId="181FDC69" w14:textId="77777777" w:rsidR="00FA5E6B" w:rsidRPr="006F6B0C" w:rsidRDefault="004C586F">
      <w:pPr>
        <w:pStyle w:val="NormalWeb"/>
        <w:spacing w:line="360" w:lineRule="auto"/>
        <w:rPr>
          <w:rStyle w:val="Hyperlink"/>
          <w:rFonts w:eastAsia="Arial"/>
          <w:color w:val="auto"/>
        </w:rPr>
      </w:pPr>
      <w:r w:rsidRPr="006F6B0C">
        <w:t>Traboulsi, A. (2024</w:t>
      </w:r>
      <w:r w:rsidRPr="006F6B0C">
        <w:rPr>
          <w:i/>
        </w:rPr>
        <w:t xml:space="preserve">). </w:t>
      </w:r>
      <w:r w:rsidRPr="006F6B0C">
        <w:rPr>
          <w:rStyle w:val="Emphasis"/>
          <w:i w:val="0"/>
        </w:rPr>
        <w:t xml:space="preserve">Determining the </w:t>
      </w:r>
      <w:r w:rsidR="00E6127B" w:rsidRPr="006F6B0C">
        <w:rPr>
          <w:rStyle w:val="Emphasis"/>
          <w:i w:val="0"/>
        </w:rPr>
        <w:t>factor (s) that affects</w:t>
      </w:r>
      <w:r w:rsidRPr="006F6B0C">
        <w:rPr>
          <w:rStyle w:val="Emphasis"/>
          <w:i w:val="0"/>
        </w:rPr>
        <w:t xml:space="preserve"> students’ e-learning readiness in a developing Country</w:t>
      </w:r>
      <w:r w:rsidRPr="006F6B0C">
        <w:t xml:space="preserve"> (Doctoral dissertation, Baker University). </w:t>
      </w:r>
      <w:hyperlink w:tgtFrame="_blank" w:history="1">
        <w:r w:rsidRPr="006F6B0C">
          <w:rPr>
            <w:rStyle w:val="Hyperlink"/>
            <w:rFonts w:eastAsia="Arial"/>
            <w:color w:val="auto"/>
          </w:rPr>
          <w:t>https://search.proquest.com/openview/7573138ffd4ffe75602fcfd1c721aaf6/1?pq-origsite=gscholar&amp;amp;cbl=18750&amp;amp;diss=y</w:t>
        </w:r>
      </w:hyperlink>
    </w:p>
    <w:p w14:paraId="19575807" w14:textId="77777777" w:rsidR="00FA5E6B" w:rsidRPr="006F6B0C" w:rsidRDefault="004C586F">
      <w:pPr>
        <w:pStyle w:val="NormalWeb"/>
      </w:pPr>
      <w:r w:rsidRPr="006F6B0C">
        <w:t xml:space="preserve">Tinmaz, H., Lee, Y.-T., Fanea-Ivanovic, M., &amp; Baber, H. (2022). A systematic review on digital literacy. </w:t>
      </w:r>
      <w:r w:rsidRPr="006F6B0C">
        <w:rPr>
          <w:rStyle w:val="Emphasis"/>
        </w:rPr>
        <w:t>Smart Learning Environments</w:t>
      </w:r>
      <w:r w:rsidRPr="006F6B0C">
        <w:t xml:space="preserve">, </w:t>
      </w:r>
      <w:r w:rsidRPr="006F6B0C">
        <w:rPr>
          <w:rStyle w:val="Emphasis"/>
        </w:rPr>
        <w:t>9</w:t>
      </w:r>
      <w:r w:rsidRPr="006F6B0C">
        <w:t xml:space="preserve">(21). </w:t>
      </w:r>
      <w:hyperlink w:tgtFrame="_blank" w:history="1">
        <w:r w:rsidRPr="006F6B0C">
          <w:rPr>
            <w:rStyle w:val="Hyperlink"/>
            <w:rFonts w:eastAsia="Arial"/>
            <w:color w:val="auto"/>
          </w:rPr>
          <w:t>https://link.springer.com/article/10.1186/s40561-022-00204-y</w:t>
        </w:r>
      </w:hyperlink>
      <w:r w:rsidRPr="006F6B0C">
        <w:rPr>
          <w:rStyle w:val="Hyperlink"/>
          <w:rFonts w:eastAsia="Arial"/>
          <w:color w:val="auto"/>
        </w:rPr>
        <w:t xml:space="preserve"> </w:t>
      </w:r>
    </w:p>
    <w:p w14:paraId="46D8BAA4" w14:textId="77777777" w:rsidR="00FA5E6B" w:rsidRPr="006F6B0C" w:rsidRDefault="00FA5E6B">
      <w:pPr>
        <w:pStyle w:val="NormalWeb"/>
      </w:pPr>
    </w:p>
    <w:sectPr w:rsidR="00FA5E6B" w:rsidRPr="006F6B0C" w:rsidSect="001732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D8A2" w14:textId="77777777" w:rsidR="00824C2A" w:rsidRDefault="00824C2A" w:rsidP="00173232">
      <w:pPr>
        <w:spacing w:line="240" w:lineRule="auto"/>
      </w:pPr>
      <w:r>
        <w:separator/>
      </w:r>
    </w:p>
  </w:endnote>
  <w:endnote w:type="continuationSeparator" w:id="0">
    <w:p w14:paraId="164E72D6" w14:textId="77777777" w:rsidR="00824C2A" w:rsidRDefault="00824C2A" w:rsidP="00173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335C" w14:textId="77777777" w:rsidR="00173232" w:rsidRDefault="00173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513370"/>
      <w:docPartObj>
        <w:docPartGallery w:val="Page Numbers (Bottom of Page)"/>
        <w:docPartUnique/>
      </w:docPartObj>
    </w:sdtPr>
    <w:sdtEndPr>
      <w:rPr>
        <w:noProof/>
      </w:rPr>
    </w:sdtEndPr>
    <w:sdtContent>
      <w:p w14:paraId="5161D002" w14:textId="1D64D8C9" w:rsidR="00173232" w:rsidRDefault="001732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2FCE8" w14:textId="77777777" w:rsidR="00173232" w:rsidRDefault="00173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3129" w14:textId="77777777" w:rsidR="00173232" w:rsidRDefault="0017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9D55" w14:textId="77777777" w:rsidR="00824C2A" w:rsidRDefault="00824C2A" w:rsidP="00173232">
      <w:pPr>
        <w:spacing w:line="240" w:lineRule="auto"/>
      </w:pPr>
      <w:r>
        <w:separator/>
      </w:r>
    </w:p>
  </w:footnote>
  <w:footnote w:type="continuationSeparator" w:id="0">
    <w:p w14:paraId="6E47BBA2" w14:textId="77777777" w:rsidR="00824C2A" w:rsidRDefault="00824C2A" w:rsidP="001732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98C8" w14:textId="77777777" w:rsidR="00173232" w:rsidRDefault="0017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FD2E" w14:textId="12184615" w:rsidR="00173232" w:rsidRPr="00173232" w:rsidRDefault="00173232" w:rsidP="00173232">
    <w:pPr>
      <w:pStyle w:val="Header"/>
      <w:rPr>
        <w:b/>
        <w:bCs/>
      </w:rPr>
    </w:pPr>
    <w:proofErr w:type="spellStart"/>
    <w:r w:rsidRPr="00173232">
      <w:rPr>
        <w:b/>
        <w:bCs/>
        <w:color w:val="00B050"/>
      </w:rPr>
      <w:t>Nigerbiblios</w:t>
    </w:r>
    <w:proofErr w:type="spellEnd"/>
    <w:r w:rsidRPr="00173232">
      <w:rPr>
        <w:b/>
        <w:bCs/>
      </w:rPr>
      <w:t xml:space="preserve">: Journal of National Library of Nigeria </w:t>
    </w:r>
    <w:r w:rsidRPr="00173232">
      <w:rPr>
        <w:b/>
        <w:bCs/>
        <w:color w:val="FF0000"/>
      </w:rPr>
      <w:t>Vol.35 No. 2 July-December 2025</w:t>
    </w:r>
  </w:p>
  <w:p w14:paraId="55AA1077" w14:textId="1555A7EF" w:rsidR="00173232" w:rsidRDefault="00173232">
    <w:pPr>
      <w:pStyle w:val="Header"/>
    </w:pPr>
  </w:p>
  <w:p w14:paraId="52F61D6F" w14:textId="77777777" w:rsidR="00173232" w:rsidRDefault="00173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9AD0" w14:textId="77777777" w:rsidR="00173232" w:rsidRDefault="0017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13C93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90FEDB1C"/>
    <w:lvl w:ilvl="0" w:tplc="41BA130A">
      <w:start w:val="1"/>
      <w:numFmt w:val="lowerRoman"/>
      <w:lvlText w:val="%1."/>
      <w:lvlJc w:val="left"/>
      <w:pPr>
        <w:ind w:left="720" w:hanging="360"/>
      </w:pPr>
      <w:rPr>
        <w:rFonts w:ascii="SimSun" w:eastAsia="SimSun" w:hAnsi="SimSun" w:cs="SimSu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0AEC6E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1F987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A90801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583C5BB0"/>
    <w:lvl w:ilvl="0" w:tplc="EC5C24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F6AE1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0000008"/>
    <w:multiLevelType w:val="hybridMultilevel"/>
    <w:tmpl w:val="5D4C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C6EA8E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911C46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A0FC5B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0EB47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E05CB4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10A2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7EAC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68CCCA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DFAE9C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0000012"/>
    <w:multiLevelType w:val="hybridMultilevel"/>
    <w:tmpl w:val="D774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5D44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7EAC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FE801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0000016"/>
    <w:multiLevelType w:val="hybridMultilevel"/>
    <w:tmpl w:val="529E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9EE39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035638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ABAA28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hybridMultilevel"/>
    <w:tmpl w:val="BF280E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0000001B"/>
    <w:multiLevelType w:val="multilevel"/>
    <w:tmpl w:val="DAEE8E86"/>
    <w:lvl w:ilvl="0">
      <w:start w:val="1"/>
      <w:numFmt w:val="decimal"/>
      <w:lvlText w:val="%1"/>
      <w:lvlJc w:val="left"/>
      <w:pPr>
        <w:ind w:left="360" w:hanging="360"/>
      </w:pPr>
      <w:rPr>
        <w:rFonts w:hint="default"/>
        <w:b/>
      </w:rPr>
    </w:lvl>
    <w:lvl w:ilvl="1">
      <w:start w:val="3"/>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27" w15:restartNumberingAfterBreak="0">
    <w:nsid w:val="0000001C"/>
    <w:multiLevelType w:val="hybridMultilevel"/>
    <w:tmpl w:val="7EAC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F1B6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multilevel"/>
    <w:tmpl w:val="36BADC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2100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multilevel"/>
    <w:tmpl w:val="6F98AB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8653B11"/>
    <w:multiLevelType w:val="multilevel"/>
    <w:tmpl w:val="E04ECB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712143323">
    <w:abstractNumId w:val="18"/>
  </w:num>
  <w:num w:numId="2" w16cid:durableId="1380320634">
    <w:abstractNumId w:val="16"/>
  </w:num>
  <w:num w:numId="3" w16cid:durableId="2043285752">
    <w:abstractNumId w:val="20"/>
  </w:num>
  <w:num w:numId="4" w16cid:durableId="1982074363">
    <w:abstractNumId w:val="6"/>
  </w:num>
  <w:num w:numId="5" w16cid:durableId="511914812">
    <w:abstractNumId w:val="24"/>
  </w:num>
  <w:num w:numId="6" w16cid:durableId="1859346753">
    <w:abstractNumId w:val="0"/>
  </w:num>
  <w:num w:numId="7" w16cid:durableId="1302884536">
    <w:abstractNumId w:val="22"/>
  </w:num>
  <w:num w:numId="8" w16cid:durableId="1660694614">
    <w:abstractNumId w:val="12"/>
  </w:num>
  <w:num w:numId="9" w16cid:durableId="1440103901">
    <w:abstractNumId w:val="2"/>
  </w:num>
  <w:num w:numId="10" w16cid:durableId="914361491">
    <w:abstractNumId w:val="23"/>
  </w:num>
  <w:num w:numId="11" w16cid:durableId="170224750">
    <w:abstractNumId w:val="26"/>
  </w:num>
  <w:num w:numId="12" w16cid:durableId="440800244">
    <w:abstractNumId w:val="10"/>
  </w:num>
  <w:num w:numId="13" w16cid:durableId="582641685">
    <w:abstractNumId w:val="11"/>
  </w:num>
  <w:num w:numId="14" w16cid:durableId="2016179900">
    <w:abstractNumId w:val="5"/>
  </w:num>
  <w:num w:numId="15" w16cid:durableId="1870336773">
    <w:abstractNumId w:val="4"/>
  </w:num>
  <w:num w:numId="16" w16cid:durableId="1372806657">
    <w:abstractNumId w:val="3"/>
  </w:num>
  <w:num w:numId="17" w16cid:durableId="771126063">
    <w:abstractNumId w:val="25"/>
  </w:num>
  <w:num w:numId="18" w16cid:durableId="689527961">
    <w:abstractNumId w:val="21"/>
  </w:num>
  <w:num w:numId="19" w16cid:durableId="1356158098">
    <w:abstractNumId w:val="7"/>
  </w:num>
  <w:num w:numId="20" w16cid:durableId="1068724720">
    <w:abstractNumId w:val="28"/>
  </w:num>
  <w:num w:numId="21" w16cid:durableId="1118331888">
    <w:abstractNumId w:val="17"/>
  </w:num>
  <w:num w:numId="22" w16cid:durableId="2058124415">
    <w:abstractNumId w:val="30"/>
  </w:num>
  <w:num w:numId="23" w16cid:durableId="1105225479">
    <w:abstractNumId w:val="1"/>
  </w:num>
  <w:num w:numId="24" w16cid:durableId="451288448">
    <w:abstractNumId w:val="27"/>
  </w:num>
  <w:num w:numId="25" w16cid:durableId="408311858">
    <w:abstractNumId w:val="19"/>
  </w:num>
  <w:num w:numId="26" w16cid:durableId="1984847506">
    <w:abstractNumId w:val="14"/>
  </w:num>
  <w:num w:numId="27" w16cid:durableId="2070106584">
    <w:abstractNumId w:val="13"/>
  </w:num>
  <w:num w:numId="28" w16cid:durableId="1076048726">
    <w:abstractNumId w:val="8"/>
  </w:num>
  <w:num w:numId="29" w16cid:durableId="383721190">
    <w:abstractNumId w:val="32"/>
  </w:num>
  <w:num w:numId="30" w16cid:durableId="1563368222">
    <w:abstractNumId w:val="31"/>
  </w:num>
  <w:num w:numId="31" w16cid:durableId="421994466">
    <w:abstractNumId w:val="9"/>
  </w:num>
  <w:num w:numId="32" w16cid:durableId="350961427">
    <w:abstractNumId w:val="15"/>
  </w:num>
  <w:num w:numId="33" w16cid:durableId="20088209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E6B"/>
    <w:rsid w:val="000748B0"/>
    <w:rsid w:val="000E1894"/>
    <w:rsid w:val="00123524"/>
    <w:rsid w:val="00173232"/>
    <w:rsid w:val="00186027"/>
    <w:rsid w:val="00202F0C"/>
    <w:rsid w:val="00246AF4"/>
    <w:rsid w:val="002C4BD2"/>
    <w:rsid w:val="002E56AB"/>
    <w:rsid w:val="003B43CC"/>
    <w:rsid w:val="003F47F6"/>
    <w:rsid w:val="00413B7A"/>
    <w:rsid w:val="004C586F"/>
    <w:rsid w:val="004F04ED"/>
    <w:rsid w:val="005031A3"/>
    <w:rsid w:val="00505FF6"/>
    <w:rsid w:val="005379CD"/>
    <w:rsid w:val="005934C2"/>
    <w:rsid w:val="005E7B1B"/>
    <w:rsid w:val="006411F2"/>
    <w:rsid w:val="006F6B0C"/>
    <w:rsid w:val="00703807"/>
    <w:rsid w:val="00721FBA"/>
    <w:rsid w:val="00765799"/>
    <w:rsid w:val="007A0972"/>
    <w:rsid w:val="007B04E9"/>
    <w:rsid w:val="007B4921"/>
    <w:rsid w:val="007D147D"/>
    <w:rsid w:val="007D3AE6"/>
    <w:rsid w:val="0080376D"/>
    <w:rsid w:val="00824C2A"/>
    <w:rsid w:val="00880262"/>
    <w:rsid w:val="00C11C49"/>
    <w:rsid w:val="00C80A27"/>
    <w:rsid w:val="00C95C4C"/>
    <w:rsid w:val="00CF3A47"/>
    <w:rsid w:val="00D12D7B"/>
    <w:rsid w:val="00D237FC"/>
    <w:rsid w:val="00D74B9C"/>
    <w:rsid w:val="00E55F6E"/>
    <w:rsid w:val="00E6127B"/>
    <w:rsid w:val="00E82AC3"/>
    <w:rsid w:val="00F32DFA"/>
    <w:rsid w:val="00F57B13"/>
    <w:rsid w:val="00F73768"/>
    <w:rsid w:val="00FA50CE"/>
    <w:rsid w:val="00FA5E6B"/>
    <w:rsid w:val="00FD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B2CB"/>
  <w15:docId w15:val="{C4FE478D-43A9-464F-B915-A3BA5D99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pPr>
    <w:rPr>
      <w:rFonts w:ascii="Arial" w:eastAsia="Arial" w:hAnsi="Arial" w:cs="Arial"/>
    </w:rPr>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2"/>
      <w:szCs w:val="32"/>
    </w:rPr>
  </w:style>
  <w:style w:type="character" w:customStyle="1" w:styleId="Heading3Char">
    <w:name w:val="Heading 3 Char"/>
    <w:basedOn w:val="DefaultParagraphFont"/>
    <w:link w:val="Heading3"/>
    <w:rPr>
      <w:rFonts w:ascii="Arial" w:eastAsia="Arial" w:hAnsi="Arial" w:cs="Arial"/>
      <w:color w:val="434343"/>
      <w:sz w:val="28"/>
      <w:szCs w:val="28"/>
    </w:rPr>
  </w:style>
  <w:style w:type="character" w:customStyle="1" w:styleId="Heading4Char">
    <w:name w:val="Heading 4 Char"/>
    <w:basedOn w:val="DefaultParagraphFont"/>
    <w:link w:val="Heading4"/>
    <w:rPr>
      <w:rFonts w:ascii="Arial" w:eastAsia="Arial" w:hAnsi="Arial" w:cs="Arial"/>
      <w:color w:val="666666"/>
      <w:sz w:val="24"/>
      <w:szCs w:val="24"/>
    </w:rPr>
  </w:style>
  <w:style w:type="character" w:customStyle="1" w:styleId="Heading5Char">
    <w:name w:val="Heading 5 Char"/>
    <w:basedOn w:val="DefaultParagraphFont"/>
    <w:link w:val="Heading5"/>
    <w:rPr>
      <w:rFonts w:ascii="Arial" w:eastAsia="Arial" w:hAnsi="Arial" w:cs="Arial"/>
      <w:color w:val="666666"/>
    </w:rPr>
  </w:style>
  <w:style w:type="character" w:customStyle="1" w:styleId="Heading6Char">
    <w:name w:val="Heading 6 Char"/>
    <w:basedOn w:val="DefaultParagraphFont"/>
    <w:link w:val="Heading6"/>
    <w:rPr>
      <w:rFonts w:ascii="Arial" w:eastAsia="Arial" w:hAnsi="Arial" w:cs="Arial"/>
      <w:i/>
      <w:color w:val="666666"/>
    </w:rPr>
  </w:style>
  <w:style w:type="paragraph" w:styleId="Title">
    <w:name w:val="Title"/>
    <w:basedOn w:val="Normal"/>
    <w:next w:val="Normal"/>
    <w:link w:val="TitleChar"/>
    <w:pPr>
      <w:keepNext/>
      <w:keepLines/>
      <w:spacing w:after="60"/>
    </w:pPr>
    <w:rPr>
      <w:sz w:val="52"/>
      <w:szCs w:val="52"/>
    </w:rPr>
  </w:style>
  <w:style w:type="character" w:customStyle="1" w:styleId="TitleChar">
    <w:name w:val="Title Char"/>
    <w:basedOn w:val="DefaultParagraphFont"/>
    <w:link w:val="Title"/>
    <w:rPr>
      <w:rFonts w:ascii="Arial" w:eastAsia="Arial" w:hAnsi="Arial" w:cs="Arial"/>
      <w:sz w:val="52"/>
      <w:szCs w:val="52"/>
    </w:rPr>
  </w:style>
  <w:style w:type="paragraph" w:styleId="Subtitle">
    <w:name w:val="Subtitle"/>
    <w:basedOn w:val="Normal"/>
    <w:next w:val="Normal"/>
    <w:link w:val="SubtitleChar"/>
    <w:pPr>
      <w:keepNext/>
      <w:keepLines/>
      <w:spacing w:after="320"/>
    </w:pPr>
    <w:rPr>
      <w:color w:val="666666"/>
      <w:sz w:val="30"/>
      <w:szCs w:val="30"/>
    </w:rPr>
  </w:style>
  <w:style w:type="character" w:customStyle="1" w:styleId="SubtitleChar">
    <w:name w:val="Subtitle Char"/>
    <w:basedOn w:val="DefaultParagraphFont"/>
    <w:link w:val="Subtitle"/>
    <w:rPr>
      <w:rFonts w:ascii="Arial" w:eastAsia="Arial" w:hAnsi="Arial" w:cs="Arial"/>
      <w:color w:val="666666"/>
      <w:sz w:val="30"/>
      <w:szCs w:val="3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citation-1">
    <w:name w:val="citation-1"/>
    <w:basedOn w:val="DefaultParagraphFont"/>
  </w:style>
  <w:style w:type="character" w:customStyle="1" w:styleId="citation-5">
    <w:name w:val="citation-5"/>
    <w:basedOn w:val="DefaultParagraphFont"/>
  </w:style>
  <w:style w:type="character" w:customStyle="1" w:styleId="dropblock">
    <w:name w:val="dropblock"/>
    <w:basedOn w:val="DefaultParagraphFont"/>
  </w:style>
  <w:style w:type="character" w:customStyle="1" w:styleId="jnlarticle">
    <w:name w:val="jnlarticle"/>
    <w:basedOn w:val="DefaultParagraphFont"/>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Arial" w:hAnsi="Tahoma" w:cs="Tahoma"/>
      <w:sz w:val="16"/>
      <w:szCs w:val="16"/>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4644</Words>
  <Characters>26476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Aziyma Hassan</cp:lastModifiedBy>
  <cp:revision>8</cp:revision>
  <dcterms:created xsi:type="dcterms:W3CDTF">2026-05-12T21:58:00Z</dcterms:created>
  <dcterms:modified xsi:type="dcterms:W3CDTF">2026-05-15T08:42:00Z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3bc7fc17c391408cba8acfa16ffc021c</vt:lpwstr>
  </property>
</Properties>
</file>