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EE6F" w14:textId="77777777" w:rsidR="00D76A1E" w:rsidRDefault="00D76A1E" w:rsidP="001F5CF6">
      <w:pPr>
        <w:pStyle w:val="Title"/>
        <w:spacing w:before="0"/>
      </w:pPr>
    </w:p>
    <w:p w14:paraId="0E68CFFC" w14:textId="77777777" w:rsidR="00D76A1E" w:rsidRDefault="00D76A1E" w:rsidP="001F5CF6">
      <w:pPr>
        <w:pStyle w:val="Title"/>
        <w:spacing w:before="0"/>
      </w:pPr>
    </w:p>
    <w:p w14:paraId="1F15D83B" w14:textId="77777777" w:rsidR="00D76A1E" w:rsidRDefault="00D76A1E" w:rsidP="001F5CF6">
      <w:pPr>
        <w:pStyle w:val="Title"/>
        <w:spacing w:before="0"/>
      </w:pPr>
    </w:p>
    <w:p w14:paraId="5573B270" w14:textId="77777777" w:rsidR="00D76A1E" w:rsidRPr="005F214C" w:rsidRDefault="00D76A1E" w:rsidP="005F214C">
      <w:pPr>
        <w:pStyle w:val="Title"/>
        <w:spacing w:before="0"/>
        <w:jc w:val="both"/>
        <w:rPr>
          <w:rFonts w:cs="Times New Roman"/>
          <w:szCs w:val="24"/>
        </w:rPr>
      </w:pPr>
    </w:p>
    <w:p w14:paraId="40DF9754" w14:textId="24150529" w:rsidR="00700EA8" w:rsidRPr="005F214C" w:rsidRDefault="001F5CF6" w:rsidP="005F214C">
      <w:pPr>
        <w:pStyle w:val="Title"/>
        <w:spacing w:before="0"/>
        <w:jc w:val="both"/>
        <w:rPr>
          <w:rFonts w:cs="Times New Roman"/>
          <w:szCs w:val="24"/>
        </w:rPr>
      </w:pPr>
      <w:r w:rsidRPr="005F214C">
        <w:rPr>
          <w:rFonts w:cs="Times New Roman"/>
          <w:szCs w:val="24"/>
        </w:rPr>
        <w:t xml:space="preserve"> FROM PRINT TO DIGITAL: THE EVOLUTION OF THE NATIONAL LIBRARY OF NIGERIA IN THE INFORMATION AGE</w:t>
      </w:r>
    </w:p>
    <w:p w14:paraId="5CBD3BD8" w14:textId="77777777" w:rsidR="008F51B7" w:rsidRPr="005F214C" w:rsidRDefault="008F51B7" w:rsidP="005F214C">
      <w:pPr>
        <w:spacing w:after="0" w:line="240" w:lineRule="auto"/>
        <w:jc w:val="both"/>
        <w:rPr>
          <w:rFonts w:ascii="Times New Roman" w:hAnsi="Times New Roman" w:cs="Times New Roman"/>
          <w:b/>
          <w:sz w:val="24"/>
          <w:szCs w:val="24"/>
        </w:rPr>
      </w:pPr>
      <w:r w:rsidRPr="005F214C">
        <w:rPr>
          <w:rFonts w:ascii="Times New Roman" w:hAnsi="Times New Roman" w:cs="Times New Roman"/>
          <w:b/>
          <w:sz w:val="24"/>
          <w:szCs w:val="24"/>
        </w:rPr>
        <w:t>Ngozi Faith Azu</w:t>
      </w:r>
    </w:p>
    <w:p w14:paraId="62ADAE80" w14:textId="77777777" w:rsidR="008F51B7" w:rsidRPr="005F214C" w:rsidRDefault="008F51B7" w:rsidP="005F214C">
      <w:pPr>
        <w:spacing w:after="0" w:line="240" w:lineRule="auto"/>
        <w:jc w:val="both"/>
        <w:rPr>
          <w:rFonts w:ascii="Times New Roman" w:hAnsi="Times New Roman" w:cs="Times New Roman"/>
          <w:b/>
          <w:sz w:val="24"/>
          <w:szCs w:val="24"/>
        </w:rPr>
      </w:pPr>
      <w:r w:rsidRPr="005F214C">
        <w:rPr>
          <w:rFonts w:ascii="Times New Roman" w:hAnsi="Times New Roman" w:cs="Times New Roman"/>
          <w:b/>
          <w:sz w:val="24"/>
          <w:szCs w:val="24"/>
        </w:rPr>
        <w:t>National Library of Nigeria, Kaduna</w:t>
      </w:r>
    </w:p>
    <w:p w14:paraId="3C0C46F5" w14:textId="77777777" w:rsidR="008F51B7" w:rsidRPr="005F214C" w:rsidRDefault="008F51B7" w:rsidP="005F214C">
      <w:pPr>
        <w:spacing w:after="240" w:line="240" w:lineRule="auto"/>
        <w:jc w:val="both"/>
        <w:rPr>
          <w:rFonts w:ascii="Times New Roman" w:hAnsi="Times New Roman" w:cs="Times New Roman"/>
          <w:b/>
          <w:i/>
          <w:sz w:val="24"/>
          <w:szCs w:val="24"/>
        </w:rPr>
      </w:pPr>
      <w:r w:rsidRPr="005F214C">
        <w:rPr>
          <w:rFonts w:ascii="Times New Roman" w:hAnsi="Times New Roman" w:cs="Times New Roman"/>
          <w:b/>
          <w:i/>
          <w:sz w:val="24"/>
          <w:szCs w:val="24"/>
        </w:rPr>
        <w:t>faithazu2016@gmail.com 08160033102</w:t>
      </w:r>
    </w:p>
    <w:p w14:paraId="3E0AF268" w14:textId="77777777" w:rsidR="008F51B7" w:rsidRPr="005F214C" w:rsidRDefault="008F51B7" w:rsidP="005F214C">
      <w:pPr>
        <w:spacing w:after="0" w:line="240" w:lineRule="auto"/>
        <w:jc w:val="both"/>
        <w:rPr>
          <w:rFonts w:ascii="Times New Roman" w:hAnsi="Times New Roman" w:cs="Times New Roman"/>
          <w:b/>
          <w:sz w:val="24"/>
          <w:szCs w:val="24"/>
        </w:rPr>
      </w:pPr>
      <w:r w:rsidRPr="005F214C">
        <w:rPr>
          <w:rFonts w:ascii="Times New Roman" w:hAnsi="Times New Roman" w:cs="Times New Roman"/>
          <w:b/>
          <w:sz w:val="24"/>
          <w:szCs w:val="24"/>
        </w:rPr>
        <w:t>Muhammad Sani Umar</w:t>
      </w:r>
    </w:p>
    <w:p w14:paraId="45024B9C" w14:textId="77777777" w:rsidR="008F51B7" w:rsidRPr="005F214C" w:rsidRDefault="008F51B7" w:rsidP="005F214C">
      <w:pPr>
        <w:spacing w:after="0" w:line="240" w:lineRule="auto"/>
        <w:jc w:val="both"/>
        <w:rPr>
          <w:rFonts w:ascii="Times New Roman" w:hAnsi="Times New Roman" w:cs="Times New Roman"/>
          <w:b/>
          <w:sz w:val="24"/>
          <w:szCs w:val="24"/>
        </w:rPr>
      </w:pPr>
      <w:r w:rsidRPr="005F214C">
        <w:rPr>
          <w:rFonts w:ascii="Times New Roman" w:hAnsi="Times New Roman" w:cs="Times New Roman"/>
          <w:b/>
          <w:sz w:val="24"/>
          <w:szCs w:val="24"/>
        </w:rPr>
        <w:t>National Library of Nigeria</w:t>
      </w:r>
    </w:p>
    <w:p w14:paraId="041B729F" w14:textId="77777777" w:rsidR="008F51B7" w:rsidRPr="005F214C" w:rsidRDefault="008F51B7" w:rsidP="005F214C">
      <w:pPr>
        <w:spacing w:after="240" w:line="240" w:lineRule="auto"/>
        <w:jc w:val="both"/>
        <w:rPr>
          <w:rFonts w:ascii="Times New Roman" w:hAnsi="Times New Roman" w:cs="Times New Roman"/>
          <w:b/>
          <w:i/>
          <w:sz w:val="24"/>
          <w:szCs w:val="24"/>
        </w:rPr>
      </w:pPr>
      <w:r w:rsidRPr="005F214C">
        <w:rPr>
          <w:rFonts w:ascii="Times New Roman" w:hAnsi="Times New Roman" w:cs="Times New Roman"/>
          <w:b/>
          <w:i/>
          <w:sz w:val="24"/>
          <w:szCs w:val="24"/>
        </w:rPr>
        <w:t>msanibox@gmail.com 08132606109</w:t>
      </w:r>
    </w:p>
    <w:p w14:paraId="29D8B83C" w14:textId="7A20AAFD" w:rsidR="00D76A1E" w:rsidRPr="005F214C" w:rsidRDefault="00D76A1E" w:rsidP="005F214C">
      <w:pPr>
        <w:spacing w:after="240" w:line="240" w:lineRule="auto"/>
        <w:jc w:val="both"/>
        <w:rPr>
          <w:rFonts w:ascii="Times New Roman" w:hAnsi="Times New Roman" w:cs="Times New Roman"/>
          <w:b/>
          <w:i/>
          <w:sz w:val="24"/>
          <w:szCs w:val="24"/>
        </w:rPr>
      </w:pPr>
      <w:r w:rsidRPr="005F214C">
        <w:rPr>
          <w:rFonts w:ascii="Times New Roman" w:hAnsi="Times New Roman" w:cs="Times New Roman"/>
          <w:b/>
          <w:i/>
          <w:sz w:val="24"/>
          <w:szCs w:val="24"/>
        </w:rPr>
        <w:t>&amp;</w:t>
      </w:r>
    </w:p>
    <w:p w14:paraId="2C08F429" w14:textId="2E4FA795" w:rsidR="008F51B7" w:rsidRPr="005F214C" w:rsidRDefault="008F51B7" w:rsidP="005F214C">
      <w:pPr>
        <w:spacing w:after="0" w:line="240" w:lineRule="auto"/>
        <w:jc w:val="both"/>
        <w:rPr>
          <w:rFonts w:ascii="Times New Roman" w:hAnsi="Times New Roman" w:cs="Times New Roman"/>
          <w:b/>
          <w:sz w:val="24"/>
          <w:szCs w:val="24"/>
        </w:rPr>
      </w:pPr>
      <w:r w:rsidRPr="005F214C">
        <w:rPr>
          <w:rFonts w:ascii="Times New Roman" w:hAnsi="Times New Roman" w:cs="Times New Roman"/>
          <w:b/>
          <w:sz w:val="24"/>
          <w:szCs w:val="24"/>
        </w:rPr>
        <w:t xml:space="preserve">Martina </w:t>
      </w:r>
      <w:proofErr w:type="spellStart"/>
      <w:r w:rsidRPr="005F214C">
        <w:rPr>
          <w:rFonts w:ascii="Times New Roman" w:hAnsi="Times New Roman" w:cs="Times New Roman"/>
          <w:b/>
          <w:sz w:val="24"/>
          <w:szCs w:val="24"/>
        </w:rPr>
        <w:t>Okwuchi</w:t>
      </w:r>
      <w:proofErr w:type="spellEnd"/>
      <w:r w:rsidR="00EC701B" w:rsidRPr="005F214C">
        <w:rPr>
          <w:rFonts w:ascii="Times New Roman" w:hAnsi="Times New Roman" w:cs="Times New Roman"/>
          <w:b/>
          <w:sz w:val="24"/>
          <w:szCs w:val="24"/>
        </w:rPr>
        <w:t xml:space="preserve"> </w:t>
      </w:r>
      <w:proofErr w:type="spellStart"/>
      <w:r w:rsidRPr="005F214C">
        <w:rPr>
          <w:rFonts w:ascii="Times New Roman" w:hAnsi="Times New Roman" w:cs="Times New Roman"/>
          <w:b/>
          <w:sz w:val="24"/>
          <w:szCs w:val="24"/>
        </w:rPr>
        <w:t>Egwuibe</w:t>
      </w:r>
      <w:proofErr w:type="spellEnd"/>
      <w:r w:rsidRPr="005F214C">
        <w:rPr>
          <w:rFonts w:ascii="Times New Roman" w:hAnsi="Times New Roman" w:cs="Times New Roman"/>
          <w:b/>
          <w:sz w:val="24"/>
          <w:szCs w:val="24"/>
        </w:rPr>
        <w:t xml:space="preserve"> (CLN)</w:t>
      </w:r>
    </w:p>
    <w:p w14:paraId="6E8B9DC9" w14:textId="77777777" w:rsidR="008F51B7" w:rsidRPr="005F214C" w:rsidRDefault="008F51B7" w:rsidP="005F214C">
      <w:pPr>
        <w:spacing w:after="0" w:line="240" w:lineRule="auto"/>
        <w:jc w:val="both"/>
        <w:rPr>
          <w:rFonts w:ascii="Times New Roman" w:hAnsi="Times New Roman" w:cs="Times New Roman"/>
          <w:b/>
          <w:sz w:val="24"/>
          <w:szCs w:val="24"/>
        </w:rPr>
      </w:pPr>
      <w:r w:rsidRPr="005F214C">
        <w:rPr>
          <w:rFonts w:ascii="Times New Roman" w:hAnsi="Times New Roman" w:cs="Times New Roman"/>
          <w:b/>
          <w:sz w:val="24"/>
          <w:szCs w:val="24"/>
        </w:rPr>
        <w:t>National Library of Nigeria</w:t>
      </w:r>
    </w:p>
    <w:p w14:paraId="7D312080" w14:textId="77777777" w:rsidR="008F51B7" w:rsidRPr="005F214C" w:rsidRDefault="008F51B7" w:rsidP="005F214C">
      <w:pPr>
        <w:spacing w:after="0" w:line="240" w:lineRule="auto"/>
        <w:jc w:val="both"/>
        <w:rPr>
          <w:rFonts w:ascii="Times New Roman" w:hAnsi="Times New Roman" w:cs="Times New Roman"/>
          <w:b/>
          <w:i/>
          <w:sz w:val="24"/>
          <w:szCs w:val="24"/>
        </w:rPr>
      </w:pPr>
      <w:r w:rsidRPr="005F214C">
        <w:rPr>
          <w:rFonts w:ascii="Times New Roman" w:hAnsi="Times New Roman" w:cs="Times New Roman"/>
          <w:b/>
          <w:i/>
          <w:sz w:val="24"/>
          <w:szCs w:val="24"/>
        </w:rPr>
        <w:t>martinaegwuibe@gmail.com 07034973996</w:t>
      </w:r>
    </w:p>
    <w:p w14:paraId="60B8D1B3" w14:textId="39D40395" w:rsidR="005C10E1" w:rsidRPr="005F214C" w:rsidRDefault="00771B99" w:rsidP="005F214C">
      <w:pPr>
        <w:pStyle w:val="Heading1"/>
        <w:jc w:val="both"/>
        <w:rPr>
          <w:rFonts w:cs="Times New Roman"/>
          <w:szCs w:val="24"/>
        </w:rPr>
      </w:pPr>
      <w:r w:rsidRPr="005F214C">
        <w:rPr>
          <w:rFonts w:cs="Times New Roman"/>
          <w:szCs w:val="24"/>
        </w:rPr>
        <w:t>ABSTRACT</w:t>
      </w:r>
    </w:p>
    <w:p w14:paraId="2D519BF7" w14:textId="77777777" w:rsidR="005C10E1" w:rsidRPr="005F214C" w:rsidRDefault="008E716E" w:rsidP="005F214C">
      <w:pPr>
        <w:spacing w:line="240" w:lineRule="auto"/>
        <w:jc w:val="both"/>
        <w:rPr>
          <w:rFonts w:ascii="Times New Roman" w:hAnsi="Times New Roman" w:cs="Times New Roman"/>
          <w:i/>
          <w:iCs/>
          <w:sz w:val="24"/>
          <w:szCs w:val="24"/>
        </w:rPr>
      </w:pPr>
      <w:r w:rsidRPr="005F214C">
        <w:rPr>
          <w:rFonts w:ascii="Times New Roman" w:hAnsi="Times New Roman" w:cs="Times New Roman"/>
          <w:i/>
          <w:iCs/>
          <w:sz w:val="24"/>
          <w:szCs w:val="24"/>
        </w:rPr>
        <w:t xml:space="preserve">This study examines the digital transformation of the National Library of Nigeria (NLN) in the information age, </w:t>
      </w:r>
      <w:r w:rsidR="00B5669F" w:rsidRPr="005F214C">
        <w:rPr>
          <w:rFonts w:ascii="Times New Roman" w:hAnsi="Times New Roman" w:cs="Times New Roman"/>
          <w:i/>
          <w:iCs/>
          <w:sz w:val="24"/>
          <w:szCs w:val="24"/>
        </w:rPr>
        <w:t>emphasi</w:t>
      </w:r>
      <w:r w:rsidR="009679C6" w:rsidRPr="005F214C">
        <w:rPr>
          <w:rFonts w:ascii="Times New Roman" w:hAnsi="Times New Roman" w:cs="Times New Roman"/>
          <w:i/>
          <w:iCs/>
          <w:sz w:val="24"/>
          <w:szCs w:val="24"/>
        </w:rPr>
        <w:t>s</w:t>
      </w:r>
      <w:r w:rsidR="00B5669F" w:rsidRPr="005F214C">
        <w:rPr>
          <w:rFonts w:ascii="Times New Roman" w:hAnsi="Times New Roman" w:cs="Times New Roman"/>
          <w:i/>
          <w:iCs/>
          <w:sz w:val="24"/>
          <w:szCs w:val="24"/>
        </w:rPr>
        <w:t>ing</w:t>
      </w:r>
      <w:r w:rsidRPr="005F214C">
        <w:rPr>
          <w:rFonts w:ascii="Times New Roman" w:hAnsi="Times New Roman" w:cs="Times New Roman"/>
          <w:i/>
          <w:iCs/>
          <w:sz w:val="24"/>
          <w:szCs w:val="24"/>
        </w:rPr>
        <w:t xml:space="preserve"> user awareness, usage patterns, and satisfaction with digital services. Grounded in the Diffusion of Innovations Theory, the study explores how demographic variables such as occupation, educational qualification, and years of experience influence the adoption and perception of digital technologies within the library context. A total of 323 responses were collected through a structured questionnaire administered to users of the NLN. Chi-square statistical analysis was employed to determine associations between user characteristics and key variables such as awareness of digital transition, frequency of use, effectiveness, sufficiency of resources, training received, and overall satisfaction. The results revealed no statistically significant associations across most variables, except for a notable link between years of experience and frequency of digital service use. This suggests a relatively uniform perception of digital services among NLN users, irrespective of background, and highlights the need for more targeted engagement strategies. The study recommends enhanced digital literacy training, inclusive infrastructure development, and continuous assessment mechanisms to improve digital adoption. Findings contribute to policy discussions on digital library services in Nigeria and underscore the importance of inclusive and strategic innovation diffusion in national library systems.</w:t>
      </w:r>
    </w:p>
    <w:p w14:paraId="2ED927B3" w14:textId="77777777" w:rsidR="005C10E1" w:rsidRPr="005F214C" w:rsidRDefault="008E716E" w:rsidP="005F214C">
      <w:pPr>
        <w:jc w:val="both"/>
        <w:rPr>
          <w:rFonts w:ascii="Times New Roman" w:hAnsi="Times New Roman" w:cs="Times New Roman"/>
          <w:sz w:val="24"/>
          <w:szCs w:val="24"/>
        </w:rPr>
      </w:pPr>
      <w:r w:rsidRPr="005F214C">
        <w:rPr>
          <w:rFonts w:ascii="Times New Roman" w:hAnsi="Times New Roman" w:cs="Times New Roman"/>
          <w:sz w:val="24"/>
          <w:szCs w:val="24"/>
        </w:rPr>
        <w:t>Key Words: Digital transformation, National Library of Nigeria, Diffusion of Innovations Theory, User perception, Library services</w:t>
      </w:r>
    </w:p>
    <w:p w14:paraId="5FB925A2" w14:textId="77777777" w:rsidR="00D76A1E" w:rsidRPr="005F214C" w:rsidRDefault="00D76A1E" w:rsidP="005F214C">
      <w:pPr>
        <w:jc w:val="both"/>
        <w:rPr>
          <w:rFonts w:ascii="Times New Roman" w:hAnsi="Times New Roman" w:cs="Times New Roman"/>
          <w:sz w:val="24"/>
          <w:szCs w:val="24"/>
        </w:rPr>
      </w:pPr>
    </w:p>
    <w:p w14:paraId="6E9A1EE4" w14:textId="77777777" w:rsidR="00D76A1E" w:rsidRPr="005F214C" w:rsidRDefault="00D76A1E" w:rsidP="005F214C">
      <w:pPr>
        <w:jc w:val="both"/>
        <w:rPr>
          <w:rFonts w:ascii="Times New Roman" w:hAnsi="Times New Roman" w:cs="Times New Roman"/>
          <w:sz w:val="24"/>
          <w:szCs w:val="24"/>
        </w:rPr>
      </w:pPr>
    </w:p>
    <w:p w14:paraId="7C611595" w14:textId="77777777" w:rsidR="00D76A1E" w:rsidRPr="005F214C" w:rsidRDefault="00D76A1E" w:rsidP="005F214C">
      <w:pPr>
        <w:jc w:val="both"/>
        <w:rPr>
          <w:rFonts w:ascii="Times New Roman" w:hAnsi="Times New Roman" w:cs="Times New Roman"/>
          <w:sz w:val="24"/>
          <w:szCs w:val="24"/>
        </w:rPr>
      </w:pPr>
    </w:p>
    <w:p w14:paraId="36F61A9F" w14:textId="77777777" w:rsidR="00D76A1E" w:rsidRPr="005F214C" w:rsidRDefault="00D76A1E" w:rsidP="005F214C">
      <w:pPr>
        <w:jc w:val="both"/>
        <w:rPr>
          <w:rFonts w:ascii="Times New Roman" w:hAnsi="Times New Roman" w:cs="Times New Roman"/>
          <w:sz w:val="24"/>
          <w:szCs w:val="24"/>
        </w:rPr>
      </w:pPr>
    </w:p>
    <w:p w14:paraId="26A85318" w14:textId="77777777" w:rsidR="00D76A1E" w:rsidRPr="005F214C" w:rsidRDefault="00D76A1E" w:rsidP="005F214C">
      <w:pPr>
        <w:jc w:val="both"/>
        <w:rPr>
          <w:rFonts w:ascii="Times New Roman" w:hAnsi="Times New Roman" w:cs="Times New Roman"/>
          <w:sz w:val="24"/>
          <w:szCs w:val="24"/>
        </w:rPr>
      </w:pPr>
    </w:p>
    <w:p w14:paraId="5BD4D71E" w14:textId="56C578C3" w:rsidR="005C10E1" w:rsidRPr="005F214C" w:rsidRDefault="00771B99" w:rsidP="005F214C">
      <w:pPr>
        <w:pStyle w:val="Heading1"/>
        <w:jc w:val="both"/>
        <w:rPr>
          <w:rFonts w:cs="Times New Roman"/>
          <w:szCs w:val="24"/>
        </w:rPr>
      </w:pPr>
      <w:r w:rsidRPr="005F214C">
        <w:rPr>
          <w:rFonts w:cs="Times New Roman"/>
          <w:szCs w:val="24"/>
        </w:rPr>
        <w:lastRenderedPageBreak/>
        <w:t>INTRODUCTION</w:t>
      </w:r>
    </w:p>
    <w:p w14:paraId="0F4D729E" w14:textId="77777777" w:rsidR="0090187C" w:rsidRPr="005F214C" w:rsidRDefault="0090187C"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The evolution from print-based to digital systems in library and information services has emerged as a global imperative, driven by rapid technological advancements, increased demand for remote access, and evolving information consumption patterns. Libraries around the world have adopted digital platforms to improve efficiency, expand accessibility, and enhance user engagement (Wagner et al., 2024; De Robbio, 2024; Pinto et al., 2024; Smith, 2024). In Nigeria, the National Library of Nigeria (NLN) stands at the forefront of this transformation as the primary institution responsible for preserving and disseminating the nation's intellectual heritage. Historically rooted in print-based systems, the NLN is now being challenged to adapt to the expectations of a digital society. Ezeani and Izuchukwu (2024) argue that libraries in the information age must integrate emerging technologies such as artificial intelligence, open-access repositories, and immersive learning environments to remain relevant. </w:t>
      </w:r>
      <w:proofErr w:type="spellStart"/>
      <w:r w:rsidRPr="005F214C">
        <w:rPr>
          <w:rFonts w:ascii="Times New Roman" w:hAnsi="Times New Roman" w:cs="Times New Roman"/>
          <w:sz w:val="24"/>
          <w:szCs w:val="24"/>
        </w:rPr>
        <w:t>Gorichanaz</w:t>
      </w:r>
      <w:proofErr w:type="spellEnd"/>
      <w:r w:rsidRPr="005F214C">
        <w:rPr>
          <w:rFonts w:ascii="Times New Roman" w:hAnsi="Times New Roman" w:cs="Times New Roman"/>
          <w:sz w:val="24"/>
          <w:szCs w:val="24"/>
        </w:rPr>
        <w:t xml:space="preserve"> (2024) further stresses the need for user-centred innovation and responsive pedagogical approaches in library services, aligning with the broader global agenda of digital inclusion and information democratisation.</w:t>
      </w:r>
    </w:p>
    <w:p w14:paraId="2932CD46" w14:textId="77777777" w:rsidR="0090187C" w:rsidRPr="005F214C" w:rsidRDefault="0090187C"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Despite ongoing digitisation efforts, the NLN faces persistent structural and operational challenges that hinder its full digital transformation. These include limited broadband infrastructure, inadequate funding, inconsistent policy implementation, and significant digital literacy gaps among both staff and users (Edam-Agbor et al., 2024; Pan et al., 2019; Wagner et al., 2024; Ezeani &amp; Izuchukwu, 2024). The delayed adoption of advanced technologies such as artificial intelligence, 3D data visualisation, and cloud-based research platforms has widened the gap between the NLN and global library standards (Cook, 2024; De Robbio, 2024). Moreover, Nigeria's broader socio-economic context, characterised by unstable electricity supply and uneven access to digital tools, affects the library's capacity to serve diverse user groups equitably. While platforms like e-LIS have enhanced visibility and collaboration for LIS professionals worldwide (De Robbio, 2024), the NLN's relatively limited digital footprint underscores the urgency of systemic innovation. Smith (2024) and Pinto et al. (2024) emphasise the need for comprehensive assessment frameworks to ensure that digital initiatives meet user needs and support sustainable knowledge development.</w:t>
      </w:r>
    </w:p>
    <w:p w14:paraId="1CF9C0E9" w14:textId="77777777" w:rsidR="00377F2A" w:rsidRPr="005F214C" w:rsidRDefault="0090187C" w:rsidP="005F214C">
      <w:pPr>
        <w:spacing w:before="120" w:after="120" w:line="360" w:lineRule="auto"/>
        <w:jc w:val="both"/>
        <w:rPr>
          <w:rFonts w:ascii="Times New Roman" w:hAnsi="Times New Roman" w:cs="Times New Roman"/>
          <w:color w:val="FF0000"/>
          <w:sz w:val="24"/>
          <w:szCs w:val="24"/>
        </w:rPr>
      </w:pPr>
      <w:r w:rsidRPr="005F214C">
        <w:rPr>
          <w:rFonts w:ascii="Times New Roman" w:hAnsi="Times New Roman" w:cs="Times New Roman"/>
          <w:sz w:val="24"/>
          <w:szCs w:val="24"/>
        </w:rPr>
        <w:t xml:space="preserve">This study pursues three interconnected objectives to gain insight into the scope and equity of the NLN's digital transformation. </w:t>
      </w:r>
      <w:r w:rsidR="00377F2A" w:rsidRPr="005F214C">
        <w:rPr>
          <w:rFonts w:ascii="Times New Roman" w:hAnsi="Times New Roman" w:cs="Times New Roman"/>
          <w:sz w:val="24"/>
          <w:szCs w:val="24"/>
        </w:rPr>
        <w:t>Specifically,</w:t>
      </w:r>
      <w:r w:rsidR="00C0088C" w:rsidRPr="005F214C">
        <w:rPr>
          <w:rFonts w:ascii="Times New Roman" w:hAnsi="Times New Roman" w:cs="Times New Roman"/>
          <w:sz w:val="24"/>
          <w:szCs w:val="24"/>
        </w:rPr>
        <w:t xml:space="preserve"> the study seeks to</w:t>
      </w:r>
      <w:r w:rsidR="006519A0" w:rsidRPr="005F214C">
        <w:rPr>
          <w:rFonts w:ascii="Times New Roman" w:hAnsi="Times New Roman" w:cs="Times New Roman"/>
          <w:sz w:val="24"/>
          <w:szCs w:val="24"/>
        </w:rPr>
        <w:t>:</w:t>
      </w:r>
      <w:r w:rsidR="006519A0" w:rsidRPr="005F214C">
        <w:rPr>
          <w:rFonts w:ascii="Times New Roman" w:hAnsi="Times New Roman" w:cs="Times New Roman"/>
          <w:color w:val="FF0000"/>
          <w:sz w:val="24"/>
          <w:szCs w:val="24"/>
        </w:rPr>
        <w:t xml:space="preserve"> </w:t>
      </w:r>
    </w:p>
    <w:p w14:paraId="346A7340" w14:textId="77777777" w:rsidR="00377F2A" w:rsidRPr="005F214C" w:rsidRDefault="00377F2A" w:rsidP="005F214C">
      <w:pPr>
        <w:pStyle w:val="ListParagraph"/>
        <w:numPr>
          <w:ilvl w:val="0"/>
          <w:numId w:val="5"/>
        </w:numPr>
        <w:spacing w:before="120" w:after="120" w:line="360" w:lineRule="auto"/>
        <w:jc w:val="both"/>
        <w:rPr>
          <w:strike/>
          <w:color w:val="FF0000"/>
        </w:rPr>
      </w:pPr>
      <w:r w:rsidRPr="005F214C">
        <w:t>E</w:t>
      </w:r>
      <w:r w:rsidR="0090187C" w:rsidRPr="005F214C">
        <w:t xml:space="preserve">xamine whether respondents' occupational roles influence their awareness, access, and perception of the NLN's digital services. </w:t>
      </w:r>
    </w:p>
    <w:p w14:paraId="72D43876" w14:textId="408CCEE5" w:rsidR="00377F2A" w:rsidRPr="005F214C" w:rsidRDefault="001F5CF6" w:rsidP="005F214C">
      <w:pPr>
        <w:pStyle w:val="ListParagraph"/>
        <w:numPr>
          <w:ilvl w:val="0"/>
          <w:numId w:val="5"/>
        </w:numPr>
        <w:spacing w:before="120" w:after="120" w:line="360" w:lineRule="auto"/>
        <w:jc w:val="both"/>
        <w:rPr>
          <w:strike/>
          <w:color w:val="FF0000"/>
        </w:rPr>
      </w:pPr>
      <w:r w:rsidRPr="005F214C">
        <w:t>I</w:t>
      </w:r>
      <w:r w:rsidR="00377F2A" w:rsidRPr="005F214C">
        <w:t>nvestigates</w:t>
      </w:r>
      <w:r w:rsidR="0090187C" w:rsidRPr="005F214C">
        <w:t xml:space="preserve"> how educational qualifications impact users' engagement with and evaluation</w:t>
      </w:r>
      <w:r w:rsidR="00C0088C" w:rsidRPr="005F214C">
        <w:t xml:space="preserve"> of the library's digital tools</w:t>
      </w:r>
      <w:r w:rsidR="007961C2" w:rsidRPr="005F214C">
        <w:t>.</w:t>
      </w:r>
      <w:r w:rsidR="0090187C" w:rsidRPr="005F214C">
        <w:t xml:space="preserve"> </w:t>
      </w:r>
    </w:p>
    <w:p w14:paraId="5286FB61" w14:textId="77777777" w:rsidR="00377F2A" w:rsidRPr="005F214C" w:rsidRDefault="001F5CF6" w:rsidP="005F214C">
      <w:pPr>
        <w:pStyle w:val="ListParagraph"/>
        <w:numPr>
          <w:ilvl w:val="0"/>
          <w:numId w:val="5"/>
        </w:numPr>
        <w:spacing w:before="120" w:after="120" w:line="360" w:lineRule="auto"/>
        <w:jc w:val="both"/>
        <w:rPr>
          <w:color w:val="FF0000"/>
        </w:rPr>
      </w:pPr>
      <w:r w:rsidRPr="005F214C">
        <w:lastRenderedPageBreak/>
        <w:t>A</w:t>
      </w:r>
      <w:r w:rsidR="006519A0" w:rsidRPr="005F214C">
        <w:t>ssess</w:t>
      </w:r>
      <w:r w:rsidR="0090187C" w:rsidRPr="005F214C">
        <w:t xml:space="preserve"> whether years of experience using the NLN influence user perceptions and interaction with digital services. </w:t>
      </w:r>
    </w:p>
    <w:p w14:paraId="1F66A377" w14:textId="77777777" w:rsidR="0090187C" w:rsidRPr="005F214C" w:rsidRDefault="0090187C"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The following hypotheses are tested in the study:</w:t>
      </w:r>
    </w:p>
    <w:p w14:paraId="3F99BCEF" w14:textId="77777777" w:rsidR="00D25DBD" w:rsidRPr="005F214C" w:rsidRDefault="00D25DBD" w:rsidP="005F214C">
      <w:pPr>
        <w:pStyle w:val="ListParagraph"/>
        <w:spacing w:line="360" w:lineRule="auto"/>
        <w:jc w:val="both"/>
      </w:pPr>
      <w:r w:rsidRPr="005F214C">
        <w:rPr>
          <w:b/>
          <w:bCs/>
        </w:rPr>
        <w:t>H</w:t>
      </w:r>
      <w:r w:rsidRPr="005F214C">
        <w:rPr>
          <w:b/>
          <w:bCs/>
          <w:vertAlign w:val="subscript"/>
        </w:rPr>
        <w:t>O1</w:t>
      </w:r>
      <w:r w:rsidRPr="005F214C">
        <w:rPr>
          <w:b/>
          <w:bCs/>
        </w:rPr>
        <w:t>:</w:t>
      </w:r>
      <w:r w:rsidRPr="005F214C">
        <w:t xml:space="preserve"> There is no statistically significant association between respondents' occupations and their responses to each aspect of the National Library of Nigeria</w:t>
      </w:r>
      <w:r w:rsidR="0090187C" w:rsidRPr="005F214C">
        <w:t>'</w:t>
      </w:r>
      <w:r w:rsidRPr="005F214C">
        <w:t xml:space="preserve">s digital transformation. </w:t>
      </w:r>
    </w:p>
    <w:p w14:paraId="07F1F937" w14:textId="77777777" w:rsidR="00D25DBD" w:rsidRPr="005F214C" w:rsidRDefault="00D25DBD" w:rsidP="005F214C">
      <w:pPr>
        <w:pStyle w:val="ListParagraph"/>
        <w:spacing w:line="360" w:lineRule="auto"/>
        <w:jc w:val="both"/>
      </w:pPr>
      <w:r w:rsidRPr="005F214C">
        <w:rPr>
          <w:b/>
          <w:bCs/>
        </w:rPr>
        <w:t>H</w:t>
      </w:r>
      <w:r w:rsidRPr="005F214C">
        <w:rPr>
          <w:b/>
          <w:bCs/>
          <w:vertAlign w:val="subscript"/>
        </w:rPr>
        <w:t>O2</w:t>
      </w:r>
      <w:r w:rsidRPr="005F214C">
        <w:rPr>
          <w:b/>
          <w:bCs/>
        </w:rPr>
        <w:t>:</w:t>
      </w:r>
      <w:r w:rsidRPr="005F214C">
        <w:t xml:space="preserve"> There is no statistically significant association between respondents' educational qualifications and their responses to </w:t>
      </w:r>
      <w:r w:rsidR="008F0D60" w:rsidRPr="005F214C">
        <w:t>variou</w:t>
      </w:r>
      <w:r w:rsidRPr="005F214C">
        <w:t>s aspects of the National Library of Nigeria</w:t>
      </w:r>
      <w:r w:rsidR="0090187C" w:rsidRPr="005F214C">
        <w:t>'</w:t>
      </w:r>
      <w:r w:rsidRPr="005F214C">
        <w:t xml:space="preserve">s digital transformation. </w:t>
      </w:r>
    </w:p>
    <w:p w14:paraId="68F26508" w14:textId="77777777" w:rsidR="00D25DBD" w:rsidRPr="005F214C" w:rsidRDefault="00D25DBD" w:rsidP="005F214C">
      <w:pPr>
        <w:pStyle w:val="ListParagraph"/>
        <w:spacing w:before="120" w:after="120" w:line="360" w:lineRule="auto"/>
        <w:jc w:val="both"/>
      </w:pPr>
      <w:r w:rsidRPr="005F214C">
        <w:rPr>
          <w:b/>
          <w:bCs/>
        </w:rPr>
        <w:t>H</w:t>
      </w:r>
      <w:r w:rsidRPr="005F214C">
        <w:rPr>
          <w:b/>
          <w:bCs/>
          <w:vertAlign w:val="subscript"/>
        </w:rPr>
        <w:t>O3</w:t>
      </w:r>
      <w:r w:rsidRPr="005F214C">
        <w:rPr>
          <w:b/>
          <w:bCs/>
        </w:rPr>
        <w:t>:</w:t>
      </w:r>
      <w:r w:rsidRPr="005F214C">
        <w:t xml:space="preserve"> There is no statistically significant association between respondents' years of experience using the National Library of Nigeria and their responses to key aspects of its digital transformation. </w:t>
      </w:r>
    </w:p>
    <w:p w14:paraId="361ACAA2" w14:textId="2AFB042B" w:rsidR="005C10E1" w:rsidRPr="005F214C" w:rsidRDefault="00771B99" w:rsidP="005F214C">
      <w:pPr>
        <w:pStyle w:val="Heading1"/>
        <w:jc w:val="both"/>
        <w:rPr>
          <w:rFonts w:cs="Times New Roman"/>
          <w:szCs w:val="24"/>
        </w:rPr>
      </w:pPr>
      <w:r w:rsidRPr="005F214C">
        <w:rPr>
          <w:rFonts w:cs="Times New Roman"/>
          <w:szCs w:val="24"/>
        </w:rPr>
        <w:t>LITERATURE REVIEW</w:t>
      </w:r>
    </w:p>
    <w:p w14:paraId="3CDC83D1" w14:textId="77777777" w:rsidR="005C10E1" w:rsidRPr="005F214C" w:rsidRDefault="005C10E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The Diffusion of Innovations Theory (DOI) by Everett Rogers is highly relevant to the study </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From Print to Digital: The Evolution of the National Library of Nigeria in the Information Age</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as it offers a structured framework to examine how innovations such as digital cataloguing systems, virtual access portals, and AI-enhanced services are adopted within an institutional context. The theory categori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 xml:space="preserve">es adopters into five groups—innovators, early adopters, early majority, late majority, and laggards—based on their willingness and speed </w:t>
      </w:r>
      <w:r w:rsidR="00D83198" w:rsidRPr="005F214C">
        <w:rPr>
          <w:rFonts w:ascii="Times New Roman" w:hAnsi="Times New Roman" w:cs="Times New Roman"/>
          <w:sz w:val="24"/>
          <w:szCs w:val="24"/>
        </w:rPr>
        <w:t>to embrace</w:t>
      </w:r>
      <w:r w:rsidRPr="005F214C">
        <w:rPr>
          <w:rFonts w:ascii="Times New Roman" w:hAnsi="Times New Roman" w:cs="Times New Roman"/>
          <w:sz w:val="24"/>
          <w:szCs w:val="24"/>
        </w:rPr>
        <w:t xml:space="preserve"> new technologies (Rogers, 2003). This categori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 xml:space="preserve">ation is particularly useful for </w:t>
      </w:r>
      <w:r w:rsidR="00D83198" w:rsidRPr="005F214C">
        <w:rPr>
          <w:rFonts w:ascii="Times New Roman" w:hAnsi="Times New Roman" w:cs="Times New Roman"/>
          <w:sz w:val="24"/>
          <w:szCs w:val="24"/>
        </w:rPr>
        <w:t>analysing</w:t>
      </w:r>
      <w:r w:rsidRPr="005F214C">
        <w:rPr>
          <w:rFonts w:ascii="Times New Roman" w:hAnsi="Times New Roman" w:cs="Times New Roman"/>
          <w:sz w:val="24"/>
          <w:szCs w:val="24"/>
        </w:rPr>
        <w:t xml:space="preserve"> the varying responses among library personnel, policymakers, and users in the National Library of Nigeria. Given that the digital shift involves changes in </w:t>
      </w:r>
      <w:r w:rsidR="00D83198" w:rsidRPr="005F214C">
        <w:rPr>
          <w:rFonts w:ascii="Times New Roman" w:hAnsi="Times New Roman" w:cs="Times New Roman"/>
          <w:sz w:val="24"/>
          <w:szCs w:val="24"/>
        </w:rPr>
        <w:t>behaviour</w:t>
      </w:r>
      <w:r w:rsidRPr="005F214C">
        <w:rPr>
          <w:rFonts w:ascii="Times New Roman" w:hAnsi="Times New Roman" w:cs="Times New Roman"/>
          <w:sz w:val="24"/>
          <w:szCs w:val="24"/>
        </w:rPr>
        <w:t xml:space="preserve"> and infrastructure, DOI allows the study to identify which groups lead innovation and which require targeted training, policy incentives, or technological support to facilitate their transition. This is supported by studies such as Edam-Agbor et al. (2024), which highlight disparities in technology adoption in Nigerian libraries, particularly around gender and institutional factors.</w:t>
      </w:r>
    </w:p>
    <w:p w14:paraId="72B9B008" w14:textId="77777777" w:rsidR="005C10E1" w:rsidRPr="005F214C" w:rsidRDefault="005C10E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Moreover, DOI identifies five core attributes </w:t>
      </w:r>
      <w:r w:rsidR="0090187C" w:rsidRPr="005F214C">
        <w:rPr>
          <w:rFonts w:ascii="Times New Roman" w:hAnsi="Times New Roman" w:cs="Times New Roman"/>
          <w:sz w:val="24"/>
          <w:szCs w:val="24"/>
        </w:rPr>
        <w:t>influencing</w:t>
      </w:r>
      <w:r w:rsidRPr="005F214C">
        <w:rPr>
          <w:rFonts w:ascii="Times New Roman" w:hAnsi="Times New Roman" w:cs="Times New Roman"/>
          <w:sz w:val="24"/>
          <w:szCs w:val="24"/>
        </w:rPr>
        <w:t xml:space="preserve"> the </w:t>
      </w:r>
      <w:r w:rsidR="0090187C" w:rsidRPr="005F214C">
        <w:rPr>
          <w:rFonts w:ascii="Times New Roman" w:hAnsi="Times New Roman" w:cs="Times New Roman"/>
          <w:sz w:val="24"/>
          <w:szCs w:val="24"/>
        </w:rPr>
        <w:t>adoption rate</w:t>
      </w:r>
      <w:r w:rsidRPr="005F214C">
        <w:rPr>
          <w:rFonts w:ascii="Times New Roman" w:hAnsi="Times New Roman" w:cs="Times New Roman"/>
          <w:sz w:val="24"/>
          <w:szCs w:val="24"/>
        </w:rPr>
        <w:t>: relative advantage, compatibility, complexity, trialability, and observability (Rogers, 2003). These elements align with real-world challenges experienced in transitioning from print to digital formats. For instance, relative advantage helps explain the preference for digital systems over physical collections</w:t>
      </w:r>
      <w:r w:rsidR="0090187C" w:rsidRPr="005F214C">
        <w:rPr>
          <w:rFonts w:ascii="Times New Roman" w:hAnsi="Times New Roman" w:cs="Times New Roman"/>
          <w:sz w:val="24"/>
          <w:szCs w:val="24"/>
        </w:rPr>
        <w:t>. In contrast,</w:t>
      </w:r>
      <w:r w:rsidRPr="005F214C">
        <w:rPr>
          <w:rFonts w:ascii="Times New Roman" w:hAnsi="Times New Roman" w:cs="Times New Roman"/>
          <w:sz w:val="24"/>
          <w:szCs w:val="24"/>
        </w:rPr>
        <w:t xml:space="preserve"> complexity and compatibility illuminate institutional barriers, such as low digital literacy and outdated infrastructure—factors echoed in Wagner et al. (2024) and Ezeani &amp; Izuchukwu (2024). Trialability and observability also influence adoption rates by determining how easily new technologies can be tested and </w:t>
      </w:r>
      <w:r w:rsidR="0090187C" w:rsidRPr="005F214C">
        <w:rPr>
          <w:rFonts w:ascii="Times New Roman" w:hAnsi="Times New Roman" w:cs="Times New Roman"/>
          <w:sz w:val="24"/>
          <w:szCs w:val="24"/>
        </w:rPr>
        <w:t>how their benefits can be</w:t>
      </w:r>
      <w:r w:rsidRPr="005F214C">
        <w:rPr>
          <w:rFonts w:ascii="Times New Roman" w:hAnsi="Times New Roman" w:cs="Times New Roman"/>
          <w:sz w:val="24"/>
          <w:szCs w:val="24"/>
        </w:rPr>
        <w:t xml:space="preserve"> demonstrated to key stakeholders. By leveraging these theoretical dimensions, the study can offer robust insights into the pace, scope, and effectiveness of digital </w:t>
      </w:r>
      <w:r w:rsidRPr="005F214C">
        <w:rPr>
          <w:rFonts w:ascii="Times New Roman" w:hAnsi="Times New Roman" w:cs="Times New Roman"/>
          <w:sz w:val="24"/>
          <w:szCs w:val="24"/>
        </w:rPr>
        <w:lastRenderedPageBreak/>
        <w:t>transformation within the National Library of Nigeria while contributing to LIS policy and institutional reform frameworks.</w:t>
      </w:r>
    </w:p>
    <w:p w14:paraId="58A30B35" w14:textId="77777777" w:rsidR="005C10E1" w:rsidRPr="005F214C" w:rsidRDefault="005C10E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The digital transformation of the library and information science (LIS) field—especially in national institutions like the National Library of Nigeria—has been significantly accelerated by global disruptions such as the COVID-19 pandemic. As detailed by Wagner et al. (2024), the forced shift to virtual-first data collection reshaped how LIS research is conceptuali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ed and executed, bringing about ethical and procedural innovations, particularly in virtual spaces. This shift empowered greater accessibility and inclusivity through existing technologies, altering traditional research norms. Complementing this evolution, De Robbio (2024) highlights the role of platforms like e-LIS in democrati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 xml:space="preserve">ing access to scholarly materials, with global contributions spanning continents and languages. Additionally, Pinto et al. (2024) </w:t>
      </w:r>
      <w:r w:rsidR="00A721DF" w:rsidRPr="005F214C">
        <w:rPr>
          <w:rFonts w:ascii="Times New Roman" w:hAnsi="Times New Roman" w:cs="Times New Roman"/>
          <w:sz w:val="24"/>
          <w:szCs w:val="24"/>
        </w:rPr>
        <w:t>underscores</w:t>
      </w:r>
      <w:r w:rsidRPr="005F214C">
        <w:rPr>
          <w:rFonts w:ascii="Times New Roman" w:hAnsi="Times New Roman" w:cs="Times New Roman"/>
          <w:sz w:val="24"/>
          <w:szCs w:val="24"/>
        </w:rPr>
        <w:t xml:space="preserve"> the growing importance of assessing data, media, and information literacy in academic libraries</w:t>
      </w:r>
      <w:r w:rsidR="0090187C" w:rsidRPr="005F214C">
        <w:rPr>
          <w:rFonts w:ascii="Times New Roman" w:hAnsi="Times New Roman" w:cs="Times New Roman"/>
          <w:sz w:val="24"/>
          <w:szCs w:val="24"/>
        </w:rPr>
        <w:t>. This focus</w:t>
      </w:r>
      <w:r w:rsidRPr="005F214C">
        <w:rPr>
          <w:rFonts w:ascii="Times New Roman" w:hAnsi="Times New Roman" w:cs="Times New Roman"/>
          <w:sz w:val="24"/>
          <w:szCs w:val="24"/>
        </w:rPr>
        <w:t xml:space="preserve"> aligns with the Nigerian context as institutions increasingly seek to evaluate and justify the effectiveness of their digital programs and training strategies.</w:t>
      </w:r>
    </w:p>
    <w:p w14:paraId="01F1C41A" w14:textId="77777777" w:rsidR="005C10E1" w:rsidRPr="005F214C" w:rsidRDefault="005C10E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Technology has become </w:t>
      </w:r>
      <w:r w:rsidR="0090187C" w:rsidRPr="005F214C">
        <w:rPr>
          <w:rFonts w:ascii="Times New Roman" w:hAnsi="Times New Roman" w:cs="Times New Roman"/>
          <w:sz w:val="24"/>
          <w:szCs w:val="24"/>
        </w:rPr>
        <w:t>indispensable</w:t>
      </w:r>
      <w:r w:rsidRPr="005F214C">
        <w:rPr>
          <w:rFonts w:ascii="Times New Roman" w:hAnsi="Times New Roman" w:cs="Times New Roman"/>
          <w:sz w:val="24"/>
          <w:szCs w:val="24"/>
        </w:rPr>
        <w:t xml:space="preserve"> in LIS research and practice, necessitating technical proficiency and ethical awareness. Pan et al. (2019) demonstrate that LIS scholars increasingly rely on freely available scientific software</w:t>
      </w:r>
      <w:r w:rsidR="0090187C" w:rsidRPr="005F214C">
        <w:rPr>
          <w:rFonts w:ascii="Times New Roman" w:hAnsi="Times New Roman" w:cs="Times New Roman"/>
          <w:sz w:val="24"/>
          <w:szCs w:val="24"/>
        </w:rPr>
        <w:t>. Yet,</w:t>
      </w:r>
      <w:r w:rsidR="00CE5628" w:rsidRPr="005F214C">
        <w:rPr>
          <w:rFonts w:ascii="Times New Roman" w:hAnsi="Times New Roman" w:cs="Times New Roman"/>
          <w:sz w:val="24"/>
          <w:szCs w:val="24"/>
        </w:rPr>
        <w:t xml:space="preserve"> </w:t>
      </w:r>
      <w:r w:rsidR="0090187C" w:rsidRPr="005F214C">
        <w:rPr>
          <w:rFonts w:ascii="Times New Roman" w:hAnsi="Times New Roman" w:cs="Times New Roman"/>
          <w:sz w:val="24"/>
          <w:szCs w:val="24"/>
        </w:rPr>
        <w:t>many</w:t>
      </w:r>
      <w:r w:rsidRPr="005F214C">
        <w:rPr>
          <w:rFonts w:ascii="Times New Roman" w:hAnsi="Times New Roman" w:cs="Times New Roman"/>
          <w:sz w:val="24"/>
          <w:szCs w:val="24"/>
        </w:rPr>
        <w:t xml:space="preserve"> fail to properly cite these tools, highlighting a gap in scholarly integrity and digital literacy. This observation calls for enhanced training and guidelines, particularly within national institutions transitioning to digital operations. </w:t>
      </w:r>
      <w:proofErr w:type="spellStart"/>
      <w:r w:rsidRPr="005F214C">
        <w:rPr>
          <w:rFonts w:ascii="Times New Roman" w:hAnsi="Times New Roman" w:cs="Times New Roman"/>
          <w:sz w:val="24"/>
          <w:szCs w:val="24"/>
        </w:rPr>
        <w:t>Gorichanaz</w:t>
      </w:r>
      <w:proofErr w:type="spellEnd"/>
      <w:r w:rsidRPr="005F214C">
        <w:rPr>
          <w:rFonts w:ascii="Times New Roman" w:hAnsi="Times New Roman" w:cs="Times New Roman"/>
          <w:sz w:val="24"/>
          <w:szCs w:val="24"/>
        </w:rPr>
        <w:t xml:space="preserve"> (2024) reinforces this need by promoting innovative pedagogical approaches in LIS education, such as student-centred learning, making/tinkering strategies, and culturally responsive teaching—all necessary in the age of artificial intelligence (AI) and rapid digital transformation. In the Nigerian setting, Edam-Agbor et al. (2024) </w:t>
      </w:r>
      <w:r w:rsidR="00A721DF" w:rsidRPr="005F214C">
        <w:rPr>
          <w:rFonts w:ascii="Times New Roman" w:hAnsi="Times New Roman" w:cs="Times New Roman"/>
          <w:sz w:val="24"/>
          <w:szCs w:val="24"/>
        </w:rPr>
        <w:t>offers</w:t>
      </w:r>
      <w:r w:rsidRPr="005F214C">
        <w:rPr>
          <w:rFonts w:ascii="Times New Roman" w:hAnsi="Times New Roman" w:cs="Times New Roman"/>
          <w:sz w:val="24"/>
          <w:szCs w:val="24"/>
        </w:rPr>
        <w:t xml:space="preserve"> critical insight into AI adoption in academic libraries, revealing high levels of awareness and acceptability. However, disparities along </w:t>
      </w:r>
      <w:r w:rsidR="0090187C" w:rsidRPr="005F214C">
        <w:rPr>
          <w:rFonts w:ascii="Times New Roman" w:hAnsi="Times New Roman" w:cs="Times New Roman"/>
          <w:sz w:val="24"/>
          <w:szCs w:val="24"/>
        </w:rPr>
        <w:t xml:space="preserve">the </w:t>
      </w:r>
      <w:r w:rsidRPr="005F214C">
        <w:rPr>
          <w:rFonts w:ascii="Times New Roman" w:hAnsi="Times New Roman" w:cs="Times New Roman"/>
          <w:sz w:val="24"/>
          <w:szCs w:val="24"/>
        </w:rPr>
        <w:t>lines of gender and institutional ownership raise concerns about equitable implementation—a factor the National Library of Nigeria must address when deploying AI tools for service delivery and research.</w:t>
      </w:r>
    </w:p>
    <w:p w14:paraId="32FCD6BD" w14:textId="77777777" w:rsidR="005C10E1" w:rsidRPr="005F214C" w:rsidRDefault="005C10E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Furthermore, </w:t>
      </w:r>
      <w:r w:rsidR="0090187C" w:rsidRPr="005F214C">
        <w:rPr>
          <w:rFonts w:ascii="Times New Roman" w:hAnsi="Times New Roman" w:cs="Times New Roman"/>
          <w:sz w:val="24"/>
          <w:szCs w:val="24"/>
        </w:rPr>
        <w:t>expanding</w:t>
      </w:r>
      <w:r w:rsidRPr="005F214C">
        <w:rPr>
          <w:rFonts w:ascii="Times New Roman" w:hAnsi="Times New Roman" w:cs="Times New Roman"/>
          <w:sz w:val="24"/>
          <w:szCs w:val="24"/>
        </w:rPr>
        <w:t xml:space="preserve"> digital preservation methods has opened up new opportunities for enhancing library services through immersive technologies. Cook (2024) explores the lifecycle of 3D data in academic libraries, emphasi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ing the potential of virtual and augmented reality to revolutioni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e access to scholarly materials. Such innovations are particularly relevant to the National Library of Nigeria, which can utili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 xml:space="preserve">e 3D reproduction and immersive analytics </w:t>
      </w:r>
      <w:r w:rsidR="0090187C" w:rsidRPr="005F214C">
        <w:rPr>
          <w:rFonts w:ascii="Times New Roman" w:hAnsi="Times New Roman" w:cs="Times New Roman"/>
          <w:sz w:val="24"/>
          <w:szCs w:val="24"/>
        </w:rPr>
        <w:t>for preserving and presenting</w:t>
      </w:r>
      <w:r w:rsidRPr="005F214C">
        <w:rPr>
          <w:rFonts w:ascii="Times New Roman" w:hAnsi="Times New Roman" w:cs="Times New Roman"/>
          <w:sz w:val="24"/>
          <w:szCs w:val="24"/>
        </w:rPr>
        <w:t xml:space="preserve"> cultural art</w:t>
      </w:r>
      <w:r w:rsidR="0090187C" w:rsidRPr="005F214C">
        <w:rPr>
          <w:rFonts w:ascii="Times New Roman" w:hAnsi="Times New Roman" w:cs="Times New Roman"/>
          <w:sz w:val="24"/>
          <w:szCs w:val="24"/>
        </w:rPr>
        <w:t>e</w:t>
      </w:r>
      <w:r w:rsidRPr="005F214C">
        <w:rPr>
          <w:rFonts w:ascii="Times New Roman" w:hAnsi="Times New Roman" w:cs="Times New Roman"/>
          <w:sz w:val="24"/>
          <w:szCs w:val="24"/>
        </w:rPr>
        <w:t xml:space="preserve">facts to broader audiences. Ezeani and Izuchukwu (2024) also underscore the changing dynamics of librarianship in the information society, highlighting the need for continuous professional </w:t>
      </w:r>
      <w:r w:rsidRPr="005F214C">
        <w:rPr>
          <w:rFonts w:ascii="Times New Roman" w:hAnsi="Times New Roman" w:cs="Times New Roman"/>
          <w:sz w:val="24"/>
          <w:szCs w:val="24"/>
        </w:rPr>
        <w:lastRenderedPageBreak/>
        <w:t xml:space="preserve">development and the acquisition of digital competencies. This transformation includes not only adopting technologies but </w:t>
      </w:r>
      <w:r w:rsidR="0090187C" w:rsidRPr="005F214C">
        <w:rPr>
          <w:rFonts w:ascii="Times New Roman" w:hAnsi="Times New Roman" w:cs="Times New Roman"/>
          <w:sz w:val="24"/>
          <w:szCs w:val="24"/>
        </w:rPr>
        <w:t xml:space="preserve">also </w:t>
      </w:r>
      <w:r w:rsidRPr="005F214C">
        <w:rPr>
          <w:rFonts w:ascii="Times New Roman" w:hAnsi="Times New Roman" w:cs="Times New Roman"/>
          <w:sz w:val="24"/>
          <w:szCs w:val="24"/>
        </w:rPr>
        <w:t xml:space="preserve">rethinking service delivery models. </w:t>
      </w:r>
      <w:r w:rsidR="0090187C" w:rsidRPr="005F214C">
        <w:rPr>
          <w:rFonts w:ascii="Times New Roman" w:hAnsi="Times New Roman" w:cs="Times New Roman"/>
          <w:sz w:val="24"/>
          <w:szCs w:val="24"/>
        </w:rPr>
        <w:t>Similarly</w:t>
      </w:r>
      <w:r w:rsidRPr="005F214C">
        <w:rPr>
          <w:rFonts w:ascii="Times New Roman" w:hAnsi="Times New Roman" w:cs="Times New Roman"/>
          <w:sz w:val="24"/>
          <w:szCs w:val="24"/>
        </w:rPr>
        <w:t>, Smith (2024) documents how LIS professionals use social media for service delivery, outreach, and research engagement—</w:t>
      </w:r>
      <w:r w:rsidR="0090187C" w:rsidRPr="005F214C">
        <w:rPr>
          <w:rFonts w:ascii="Times New Roman" w:hAnsi="Times New Roman" w:cs="Times New Roman"/>
          <w:sz w:val="24"/>
          <w:szCs w:val="24"/>
        </w:rPr>
        <w:t>essential activities</w:t>
      </w:r>
      <w:r w:rsidRPr="005F214C">
        <w:rPr>
          <w:rFonts w:ascii="Times New Roman" w:hAnsi="Times New Roman" w:cs="Times New Roman"/>
          <w:sz w:val="24"/>
          <w:szCs w:val="24"/>
        </w:rPr>
        <w:t xml:space="preserve"> in an increasingly networked information ecosystem.</w:t>
      </w:r>
    </w:p>
    <w:p w14:paraId="28C6DA78" w14:textId="77777777" w:rsidR="005C10E1" w:rsidRPr="005F214C" w:rsidRDefault="005C10E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Finally, LIS institutions must embrace infrastructural and cultural changes to thrive in the information age. Wagner et al. (2024) reiterate that while the pandemic may have </w:t>
      </w:r>
      <w:r w:rsidR="00D25DBD" w:rsidRPr="005F214C">
        <w:rPr>
          <w:rFonts w:ascii="Times New Roman" w:hAnsi="Times New Roman" w:cs="Times New Roman"/>
          <w:sz w:val="24"/>
          <w:szCs w:val="24"/>
        </w:rPr>
        <w:t>catalysed</w:t>
      </w:r>
      <w:r w:rsidRPr="005F214C">
        <w:rPr>
          <w:rFonts w:ascii="Times New Roman" w:hAnsi="Times New Roman" w:cs="Times New Roman"/>
          <w:sz w:val="24"/>
          <w:szCs w:val="24"/>
        </w:rPr>
        <w:t xml:space="preserve"> virtual transitions, the permanence of digital methods now demands sustained innovation and ethical integrity across all stages of LIS research. The National Library of Nigeria must adapt by aligning its strategic goals with global standards in software use, open access dissemination (De Robbio, 2024), and robust assessment frameworks (Pinto et al., 2024). Moreover, a balanced integration of AI tools (Edam-Agbor et al., 2024), innovative teaching practices (</w:t>
      </w:r>
      <w:proofErr w:type="spellStart"/>
      <w:r w:rsidRPr="005F214C">
        <w:rPr>
          <w:rFonts w:ascii="Times New Roman" w:hAnsi="Times New Roman" w:cs="Times New Roman"/>
          <w:sz w:val="24"/>
          <w:szCs w:val="24"/>
        </w:rPr>
        <w:t>Gorichanaz</w:t>
      </w:r>
      <w:proofErr w:type="spellEnd"/>
      <w:r w:rsidRPr="005F214C">
        <w:rPr>
          <w:rFonts w:ascii="Times New Roman" w:hAnsi="Times New Roman" w:cs="Times New Roman"/>
          <w:sz w:val="24"/>
          <w:szCs w:val="24"/>
        </w:rPr>
        <w:t xml:space="preserve">, 2024), and immersive technologies (Cook, 2024) will ensure the institution remains a hub of knowledge dissemination and digital literacy. </w:t>
      </w:r>
      <w:r w:rsidR="0090187C" w:rsidRPr="005F214C">
        <w:rPr>
          <w:rFonts w:ascii="Times New Roman" w:hAnsi="Times New Roman" w:cs="Times New Roman"/>
          <w:sz w:val="24"/>
          <w:szCs w:val="24"/>
        </w:rPr>
        <w:t>A</w:t>
      </w:r>
      <w:r w:rsidRPr="005F214C">
        <w:rPr>
          <w:rFonts w:ascii="Times New Roman" w:hAnsi="Times New Roman" w:cs="Times New Roman"/>
          <w:sz w:val="24"/>
          <w:szCs w:val="24"/>
        </w:rPr>
        <w:t>ddressing structural disparities and fostering inclusive adoption of emerging technologies, the library can become a model of resilience and transformation in Africa</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s evolving knowledge landscape.</w:t>
      </w:r>
    </w:p>
    <w:p w14:paraId="6FB7F4D9" w14:textId="77777777" w:rsidR="007F104A" w:rsidRPr="005F214C" w:rsidRDefault="007F104A"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Despite the growing literature on digital transformation in library and information science, a significant gap remains in the empirical evaluation of user-level adoption within national institutions like the National Library of Nigeria (NLN). While existing studies emphasize technology deployment and institutional readiness (Edam-Agbor et al., 2024; Wagner et al., 2024), few explore how demographic factors—such as occupation, educational qualification, and years of experience—shape user interaction with digital services. Additionally, limited research integrates the Diffusion of Innovations Theory (Rogers, 2003) within the Nigerian LIS context to assess adoption behaviour. This study addresses these gaps by providing data-driven insights into the inclusiveness, equity, and effectiveness of NLN’s digital transformation across user groups.</w:t>
      </w:r>
    </w:p>
    <w:p w14:paraId="7F391F11" w14:textId="59C5F520" w:rsidR="005C10E1" w:rsidRPr="005F214C" w:rsidRDefault="00771B99" w:rsidP="005F214C">
      <w:pPr>
        <w:pStyle w:val="Heading1"/>
        <w:jc w:val="both"/>
        <w:rPr>
          <w:rFonts w:cs="Times New Roman"/>
          <w:szCs w:val="24"/>
        </w:rPr>
      </w:pPr>
      <w:r w:rsidRPr="005F214C">
        <w:rPr>
          <w:rFonts w:cs="Times New Roman"/>
          <w:szCs w:val="24"/>
        </w:rPr>
        <w:t>METHODOLOGY</w:t>
      </w:r>
    </w:p>
    <w:p w14:paraId="4D69C14B" w14:textId="77777777" w:rsidR="00EC62A8" w:rsidRPr="005F214C" w:rsidRDefault="006B62B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The study </w:t>
      </w:r>
      <w:r w:rsidR="0090187C" w:rsidRPr="005F214C">
        <w:rPr>
          <w:rFonts w:ascii="Times New Roman" w:hAnsi="Times New Roman" w:cs="Times New Roman"/>
          <w:sz w:val="24"/>
          <w:szCs w:val="24"/>
        </w:rPr>
        <w:t>used a descriptive survey to gather</w:t>
      </w:r>
      <w:r w:rsidRPr="005F214C">
        <w:rPr>
          <w:rFonts w:ascii="Times New Roman" w:hAnsi="Times New Roman" w:cs="Times New Roman"/>
          <w:sz w:val="24"/>
          <w:szCs w:val="24"/>
        </w:rPr>
        <w:t xml:space="preserve"> respondents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perceptions and experiences regarding NLN</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s digital transformation (Creswell, 2014). This design allows for systematic collection and analysis of responses from a large sample, using structured questionnaires to explore relationships between demographic variables and user behaviour.</w:t>
      </w:r>
    </w:p>
    <w:p w14:paraId="6D29264C" w14:textId="77777777" w:rsidR="00EC62A8" w:rsidRPr="005F214C" w:rsidRDefault="00EC62A8"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Given that the population is considered infinite, Cochran</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s (1977) formula is recommended for determining an appropriate sample size. The formula </w:t>
      </w:r>
      <w:r w:rsidR="0090187C" w:rsidRPr="005F214C">
        <w:rPr>
          <w:rFonts w:ascii="Times New Roman" w:hAnsi="Times New Roman" w:cs="Times New Roman"/>
          <w:sz w:val="24"/>
          <w:szCs w:val="24"/>
        </w:rPr>
        <w:t>suits</w:t>
      </w:r>
      <w:r w:rsidRPr="005F214C">
        <w:rPr>
          <w:rFonts w:ascii="Times New Roman" w:hAnsi="Times New Roman" w:cs="Times New Roman"/>
          <w:sz w:val="24"/>
          <w:szCs w:val="24"/>
        </w:rPr>
        <w:t xml:space="preserve"> large populations and provides a statistically valid method to estimate a representative sample size. The sample size is therefore calculated as follows:</w:t>
      </w:r>
    </w:p>
    <w:p w14:paraId="5EAF1975" w14:textId="77777777" w:rsidR="00EC62A8" w:rsidRPr="005F214C" w:rsidRDefault="00EC62A8" w:rsidP="005F214C">
      <w:pPr>
        <w:spacing w:before="120" w:after="12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n=</m:t>
        </m:r>
        <m:f>
          <m:fPr>
            <m:ctrlPr>
              <w:rPr>
                <w:rFonts w:ascii="Cambria Math" w:hAnsi="Cambria Math" w:cs="Times New Roman"/>
                <w:i/>
                <w:iCs/>
                <w:sz w:val="24"/>
                <w:szCs w:val="24"/>
                <w:lang w:val="en-US"/>
              </w:rPr>
            </m:ctrlPr>
          </m:fPr>
          <m:num>
            <m:sSup>
              <m:sSupPr>
                <m:ctrlPr>
                  <w:rPr>
                    <w:rFonts w:ascii="Cambria Math" w:hAnsi="Cambria Math" w:cs="Times New Roman"/>
                    <w:i/>
                    <w:iCs/>
                    <w:sz w:val="24"/>
                    <w:szCs w:val="24"/>
                    <w:lang w:val="en-US"/>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pq</m:t>
            </m:r>
          </m:num>
          <m:den>
            <m:sSup>
              <m:sSupPr>
                <m:ctrlPr>
                  <w:rPr>
                    <w:rFonts w:ascii="Cambria Math" w:hAnsi="Cambria Math" w:cs="Times New Roman"/>
                    <w:i/>
                    <w:iCs/>
                    <w:sz w:val="24"/>
                    <w:szCs w:val="24"/>
                    <w:lang w:val="en-US"/>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r w:rsidR="00D25DBD" w:rsidRPr="005F214C">
        <w:rPr>
          <w:rFonts w:ascii="Times New Roman" w:hAnsi="Times New Roman" w:cs="Times New Roman"/>
          <w:iCs/>
          <w:sz w:val="24"/>
          <w:szCs w:val="24"/>
          <w:lang w:val="en-US"/>
        </w:rPr>
        <w:tab/>
      </w:r>
      <w:r w:rsidR="00D25DBD" w:rsidRPr="005F214C">
        <w:rPr>
          <w:rFonts w:ascii="Times New Roman" w:hAnsi="Times New Roman" w:cs="Times New Roman"/>
          <w:iCs/>
          <w:sz w:val="24"/>
          <w:szCs w:val="24"/>
          <w:lang w:val="en-US"/>
        </w:rPr>
        <w:tab/>
      </w:r>
      <w:r w:rsidR="00D25DBD" w:rsidRPr="005F214C">
        <w:rPr>
          <w:rFonts w:ascii="Times New Roman" w:hAnsi="Times New Roman" w:cs="Times New Roman"/>
          <w:iCs/>
          <w:sz w:val="24"/>
          <w:szCs w:val="24"/>
          <w:lang w:val="en-US"/>
        </w:rPr>
        <w:tab/>
      </w:r>
      <w:r w:rsidR="00D25DBD" w:rsidRPr="005F214C">
        <w:rPr>
          <w:rFonts w:ascii="Times New Roman" w:hAnsi="Times New Roman" w:cs="Times New Roman"/>
          <w:iCs/>
          <w:sz w:val="24"/>
          <w:szCs w:val="24"/>
          <w:lang w:val="en-US"/>
        </w:rPr>
        <w:tab/>
      </w:r>
      <w:r w:rsidR="00D25DBD" w:rsidRPr="005F214C">
        <w:rPr>
          <w:rFonts w:ascii="Times New Roman" w:hAnsi="Times New Roman" w:cs="Times New Roman"/>
          <w:iCs/>
          <w:sz w:val="24"/>
          <w:szCs w:val="24"/>
          <w:lang w:val="en-US"/>
        </w:rPr>
        <w:tab/>
      </w:r>
      <w:r w:rsidR="00D25DBD" w:rsidRPr="005F214C">
        <w:rPr>
          <w:rFonts w:ascii="Times New Roman" w:hAnsi="Times New Roman" w:cs="Times New Roman"/>
          <w:iCs/>
          <w:sz w:val="24"/>
          <w:szCs w:val="24"/>
          <w:lang w:val="en-US"/>
        </w:rPr>
        <w:tab/>
      </w:r>
      <w:r w:rsidR="00D25DBD" w:rsidRPr="005F214C">
        <w:rPr>
          <w:rFonts w:ascii="Times New Roman" w:hAnsi="Times New Roman" w:cs="Times New Roman"/>
          <w:iCs/>
          <w:sz w:val="24"/>
          <w:szCs w:val="24"/>
          <w:lang w:val="en-US"/>
        </w:rPr>
        <w:tab/>
      </w:r>
      <w:r w:rsidR="00D25DBD" w:rsidRPr="005F214C">
        <w:rPr>
          <w:rFonts w:ascii="Times New Roman" w:hAnsi="Times New Roman" w:cs="Times New Roman"/>
          <w:iCs/>
          <w:sz w:val="24"/>
          <w:szCs w:val="24"/>
          <w:lang w:val="en-US"/>
        </w:rPr>
        <w:tab/>
      </w:r>
      <w:r w:rsidR="00D25DBD" w:rsidRPr="005F214C">
        <w:rPr>
          <w:rFonts w:ascii="Times New Roman" w:hAnsi="Times New Roman" w:cs="Times New Roman"/>
          <w:iCs/>
          <w:sz w:val="24"/>
          <w:szCs w:val="24"/>
          <w:lang w:val="en-US"/>
        </w:rPr>
        <w:tab/>
        <w:t>(1)</w:t>
      </w:r>
    </w:p>
    <w:p w14:paraId="7E709469" w14:textId="77777777" w:rsidR="00EC62A8" w:rsidRPr="005F214C" w:rsidRDefault="00EC62A8"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Where n= sample size, Z= standard error associated with the chosen level of </w:t>
      </w:r>
      <w:r w:rsidR="0090187C" w:rsidRPr="005F214C">
        <w:rPr>
          <w:rFonts w:ascii="Times New Roman" w:hAnsi="Times New Roman" w:cs="Times New Roman"/>
          <w:sz w:val="24"/>
          <w:szCs w:val="24"/>
        </w:rPr>
        <w:t>C</w:t>
      </w:r>
      <w:r w:rsidRPr="005F214C">
        <w:rPr>
          <w:rFonts w:ascii="Times New Roman" w:hAnsi="Times New Roman" w:cs="Times New Roman"/>
          <w:sz w:val="24"/>
          <w:szCs w:val="24"/>
        </w:rPr>
        <w:t xml:space="preserve">onfidence (usually 1.96), P= estimated percentage in the population, q=1-p </w:t>
      </w:r>
      <w:proofErr w:type="spellStart"/>
      <w:r w:rsidRPr="005F214C">
        <w:rPr>
          <w:rFonts w:ascii="Times New Roman" w:hAnsi="Times New Roman" w:cs="Times New Roman"/>
          <w:sz w:val="24"/>
          <w:szCs w:val="24"/>
        </w:rPr>
        <w:t>ande</w:t>
      </w:r>
      <w:proofErr w:type="spellEnd"/>
      <w:r w:rsidRPr="005F214C">
        <w:rPr>
          <w:rFonts w:ascii="Times New Roman" w:hAnsi="Times New Roman" w:cs="Times New Roman"/>
          <w:sz w:val="24"/>
          <w:szCs w:val="24"/>
        </w:rPr>
        <w:t xml:space="preserve">= Acceptable sample error. </w:t>
      </w:r>
      <w:r w:rsidRPr="005F214C">
        <w:rPr>
          <w:rFonts w:ascii="Times New Roman" w:eastAsia="PMingLiU" w:hAnsi="Times New Roman" w:cs="Times New Roman"/>
          <w:color w:val="000000" w:themeColor="text1"/>
          <w:sz w:val="24"/>
          <w:szCs w:val="24"/>
          <w:lang w:val="en-US"/>
        </w:rPr>
        <w:t>Therefore:</w:t>
      </w:r>
    </w:p>
    <w:p w14:paraId="3FFA8A76" w14:textId="77777777" w:rsidR="00EC62A8" w:rsidRPr="005F214C" w:rsidRDefault="00EC62A8" w:rsidP="005F214C">
      <w:pPr>
        <w:pStyle w:val="NormalWeb"/>
        <w:kinsoku w:val="0"/>
        <w:overflowPunct w:val="0"/>
        <w:spacing w:before="120" w:beforeAutospacing="0" w:after="120" w:afterAutospacing="0" w:line="360" w:lineRule="auto"/>
        <w:jc w:val="both"/>
        <w:textAlignment w:val="baseline"/>
      </w:pPr>
      <m:oMathPara>
        <m:oMathParaPr>
          <m:jc m:val="centerGroup"/>
        </m:oMathParaPr>
        <m:oMath>
          <m:r>
            <w:rPr>
              <w:rFonts w:ascii="Cambria Math" w:eastAsia="PMingLiU" w:hAnsi="Cambria Math"/>
              <w:color w:val="000000" w:themeColor="text1"/>
            </w:rPr>
            <m:t>n=</m:t>
          </m:r>
          <m:f>
            <m:fPr>
              <m:ctrlPr>
                <w:rPr>
                  <w:rFonts w:ascii="Cambria Math" w:eastAsia="PMingLiU" w:hAnsi="Cambria Math"/>
                  <w:i/>
                  <w:iCs/>
                  <w:color w:val="000000" w:themeColor="text1"/>
                </w:rPr>
              </m:ctrlPr>
            </m:fPr>
            <m:num>
              <m:sSup>
                <m:sSupPr>
                  <m:ctrlPr>
                    <w:rPr>
                      <w:rFonts w:ascii="Cambria Math" w:eastAsia="PMingLiU" w:hAnsi="Cambria Math"/>
                      <w:i/>
                      <w:iCs/>
                      <w:color w:val="000000" w:themeColor="text1"/>
                    </w:rPr>
                  </m:ctrlPr>
                </m:sSupPr>
                <m:e>
                  <m:r>
                    <w:rPr>
                      <w:rFonts w:ascii="Cambria Math" w:eastAsia="PMingLiU" w:hAnsi="Cambria Math"/>
                      <w:color w:val="000000" w:themeColor="text1"/>
                    </w:rPr>
                    <m:t>1.96</m:t>
                  </m:r>
                </m:e>
                <m:sup>
                  <m:r>
                    <w:rPr>
                      <w:rFonts w:ascii="Cambria Math" w:eastAsia="PMingLiU" w:hAnsi="Cambria Math"/>
                      <w:color w:val="000000" w:themeColor="text1"/>
                    </w:rPr>
                    <m:t>2</m:t>
                  </m:r>
                </m:sup>
              </m:sSup>
              <m:r>
                <w:rPr>
                  <w:rFonts w:ascii="Cambria Math" w:eastAsia="PMingLiU" w:hAnsi="Cambria Math"/>
                  <w:color w:val="000000" w:themeColor="text1"/>
                </w:rPr>
                <m:t>*0.5*0.5</m:t>
              </m:r>
            </m:num>
            <m:den>
              <m:sSup>
                <m:sSupPr>
                  <m:ctrlPr>
                    <w:rPr>
                      <w:rFonts w:ascii="Cambria Math" w:eastAsia="PMingLiU" w:hAnsi="Cambria Math"/>
                      <w:i/>
                      <w:iCs/>
                      <w:color w:val="000000" w:themeColor="text1"/>
                    </w:rPr>
                  </m:ctrlPr>
                </m:sSupPr>
                <m:e>
                  <m:r>
                    <w:rPr>
                      <w:rFonts w:ascii="Cambria Math" w:eastAsia="PMingLiU" w:hAnsi="Cambria Math"/>
                      <w:color w:val="000000" w:themeColor="text1"/>
                    </w:rPr>
                    <m:t>0.05</m:t>
                  </m:r>
                </m:e>
                <m:sup>
                  <m:r>
                    <w:rPr>
                      <w:rFonts w:ascii="Cambria Math" w:eastAsia="PMingLiU" w:hAnsi="Cambria Math"/>
                      <w:color w:val="000000" w:themeColor="text1"/>
                    </w:rPr>
                    <m:t>2</m:t>
                  </m:r>
                </m:sup>
              </m:sSup>
            </m:den>
          </m:f>
          <m:r>
            <w:rPr>
              <w:rFonts w:ascii="Cambria Math" w:eastAsia="PMingLiU" w:hAnsi="Cambria Math"/>
              <w:color w:val="000000" w:themeColor="text1"/>
            </w:rPr>
            <m:t xml:space="preserve"> =</m:t>
          </m:r>
          <m:f>
            <m:fPr>
              <m:ctrlPr>
                <w:rPr>
                  <w:rFonts w:ascii="Cambria Math" w:eastAsia="PMingLiU" w:hAnsi="Cambria Math"/>
                  <w:i/>
                  <w:iCs/>
                  <w:color w:val="000000" w:themeColor="text1"/>
                </w:rPr>
              </m:ctrlPr>
            </m:fPr>
            <m:num>
              <m:r>
                <w:rPr>
                  <w:rFonts w:ascii="Cambria Math" w:eastAsia="PMingLiU" w:hAnsi="Cambria Math"/>
                  <w:color w:val="000000" w:themeColor="text1"/>
                </w:rPr>
                <m:t>3.8416*0.5*0.5</m:t>
              </m:r>
            </m:num>
            <m:den>
              <m:r>
                <w:rPr>
                  <w:rFonts w:ascii="Cambria Math" w:eastAsia="PMingLiU" w:hAnsi="Cambria Math"/>
                  <w:color w:val="000000" w:themeColor="text1"/>
                </w:rPr>
                <m:t>0.0025</m:t>
              </m:r>
            </m:den>
          </m:f>
          <m:r>
            <w:rPr>
              <w:rFonts w:ascii="Cambria Math" w:eastAsia="PMingLiU" w:hAnsi="Cambria Math"/>
              <w:color w:val="000000" w:themeColor="text1"/>
            </w:rPr>
            <m:t>=384.16</m:t>
          </m:r>
        </m:oMath>
      </m:oMathPara>
    </w:p>
    <w:p w14:paraId="099EB6B3" w14:textId="77777777" w:rsidR="00EC62A8" w:rsidRPr="005F214C" w:rsidRDefault="00EC62A8" w:rsidP="005F214C">
      <w:pPr>
        <w:kinsoku w:val="0"/>
        <w:overflowPunct w:val="0"/>
        <w:spacing w:line="360" w:lineRule="auto"/>
        <w:jc w:val="both"/>
        <w:textAlignment w:val="baseline"/>
        <w:rPr>
          <w:rFonts w:ascii="Times New Roman" w:hAnsi="Times New Roman" w:cs="Times New Roman"/>
          <w:color w:val="CC0000"/>
          <w:sz w:val="24"/>
          <w:szCs w:val="24"/>
        </w:rPr>
      </w:pPr>
      <w:r w:rsidRPr="005F214C">
        <w:rPr>
          <w:rFonts w:ascii="Times New Roman" w:eastAsia="PMingLiU" w:hAnsi="Times New Roman" w:cs="Times New Roman"/>
          <w:color w:val="000000" w:themeColor="text1"/>
          <w:sz w:val="24"/>
          <w:szCs w:val="24"/>
        </w:rPr>
        <w:t>The sample size for the study is 384.</w:t>
      </w:r>
    </w:p>
    <w:p w14:paraId="28D39EBC" w14:textId="7FC94D11" w:rsidR="005C10E1" w:rsidRPr="005F214C" w:rsidRDefault="00771B99" w:rsidP="005F214C">
      <w:pPr>
        <w:pStyle w:val="Heading2"/>
        <w:jc w:val="both"/>
        <w:rPr>
          <w:rFonts w:cs="Times New Roman"/>
          <w:szCs w:val="24"/>
        </w:rPr>
      </w:pPr>
      <w:r w:rsidRPr="005F214C">
        <w:rPr>
          <w:rFonts w:cs="Times New Roman"/>
          <w:szCs w:val="24"/>
        </w:rPr>
        <w:t>METHOD OF DATA ANALYSIS</w:t>
      </w:r>
    </w:p>
    <w:p w14:paraId="3A851994" w14:textId="72704A40" w:rsidR="00B80867" w:rsidRPr="005F214C" w:rsidRDefault="006B62B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The data collected through structured questionnaires were analysed using descriptive and inferential statistical methods. Descriptive statistics, including frequencies and percentages, were used to summari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e respondents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demographic characteristics and general response patterns. For inferential analysis, the Chi-square test of independence was employed to examine the relationship between demographic variables (such as gender, educational qualification, occupation, and years of experience using the NLN) and responses to key aspects of the National Library of Nigeria</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s digital transformation, including awareness, frequency of use, perceived effectiveness, resource sufficiency, training received, and user satisfaction. The analysis was conducted using SPSS software, and statistical significance was determined at </w:t>
      </w:r>
      <w:r w:rsidR="0090187C" w:rsidRPr="005F214C">
        <w:rPr>
          <w:rFonts w:ascii="Times New Roman" w:hAnsi="Times New Roman" w:cs="Times New Roman"/>
          <w:sz w:val="24"/>
          <w:szCs w:val="24"/>
        </w:rPr>
        <w:t>0.05</w:t>
      </w:r>
      <w:r w:rsidRPr="005F214C">
        <w:rPr>
          <w:rFonts w:ascii="Times New Roman" w:hAnsi="Times New Roman" w:cs="Times New Roman"/>
          <w:sz w:val="24"/>
          <w:szCs w:val="24"/>
        </w:rPr>
        <w:t>. Results were presented in tables to facilitate clarity and interpretation.</w:t>
      </w:r>
    </w:p>
    <w:tbl>
      <w:tblPr>
        <w:tblW w:w="8547" w:type="dxa"/>
        <w:jc w:val="center"/>
        <w:tblLayout w:type="fixed"/>
        <w:tblLook w:val="0000" w:firstRow="0" w:lastRow="0" w:firstColumn="0" w:lastColumn="0" w:noHBand="0" w:noVBand="0"/>
      </w:tblPr>
      <w:tblGrid>
        <w:gridCol w:w="2790"/>
        <w:gridCol w:w="1919"/>
        <w:gridCol w:w="1919"/>
        <w:gridCol w:w="1919"/>
      </w:tblGrid>
      <w:tr w:rsidR="001D1A38" w:rsidRPr="005F214C" w14:paraId="068CBB9B" w14:textId="77777777" w:rsidTr="001D1A38">
        <w:trPr>
          <w:trHeight w:val="282"/>
          <w:jc w:val="center"/>
        </w:trPr>
        <w:tc>
          <w:tcPr>
            <w:tcW w:w="8547" w:type="dxa"/>
            <w:gridSpan w:val="4"/>
            <w:tcBorders>
              <w:bottom w:val="single" w:sz="4" w:space="0" w:color="auto"/>
            </w:tcBorders>
          </w:tcPr>
          <w:p w14:paraId="1F331A82" w14:textId="77777777" w:rsidR="001D1A38" w:rsidRPr="005F214C" w:rsidRDefault="001D1A38"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eastAsia="Calibri" w:hAnsi="Times New Roman" w:cs="Times New Roman"/>
                <w:bCs/>
                <w:sz w:val="24"/>
                <w:szCs w:val="24"/>
              </w:rPr>
              <w:t>TABLE 1. Demographic Information.</w:t>
            </w:r>
          </w:p>
        </w:tc>
      </w:tr>
      <w:tr w:rsidR="001D1A38" w:rsidRPr="005F214C" w14:paraId="2950BF0F" w14:textId="77777777" w:rsidTr="001D1A38">
        <w:trPr>
          <w:trHeight w:val="282"/>
          <w:jc w:val="center"/>
        </w:trPr>
        <w:tc>
          <w:tcPr>
            <w:tcW w:w="2790" w:type="dxa"/>
            <w:tcBorders>
              <w:top w:val="single" w:sz="4" w:space="0" w:color="auto"/>
              <w:bottom w:val="single" w:sz="4" w:space="0" w:color="auto"/>
            </w:tcBorders>
          </w:tcPr>
          <w:p w14:paraId="6005DCA2" w14:textId="77777777" w:rsidR="001D1A38" w:rsidRPr="005F214C" w:rsidRDefault="001D1A38"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Demographic Variables</w:t>
            </w:r>
          </w:p>
        </w:tc>
        <w:tc>
          <w:tcPr>
            <w:tcW w:w="1919" w:type="dxa"/>
            <w:tcBorders>
              <w:top w:val="single" w:sz="4" w:space="0" w:color="auto"/>
              <w:bottom w:val="single" w:sz="4" w:space="0" w:color="auto"/>
            </w:tcBorders>
          </w:tcPr>
          <w:p w14:paraId="5BEE1CF3" w14:textId="77777777" w:rsidR="001D1A38" w:rsidRPr="005F214C" w:rsidRDefault="001D1A38"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Categories</w:t>
            </w:r>
          </w:p>
        </w:tc>
        <w:tc>
          <w:tcPr>
            <w:tcW w:w="1919" w:type="dxa"/>
            <w:tcBorders>
              <w:top w:val="single" w:sz="4" w:space="0" w:color="auto"/>
              <w:bottom w:val="single" w:sz="4" w:space="0" w:color="auto"/>
            </w:tcBorders>
          </w:tcPr>
          <w:p w14:paraId="58D977E8" w14:textId="77777777" w:rsidR="001D1A38" w:rsidRPr="005F214C" w:rsidRDefault="001D1A38"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Frequencies</w:t>
            </w:r>
          </w:p>
        </w:tc>
        <w:tc>
          <w:tcPr>
            <w:tcW w:w="1919" w:type="dxa"/>
            <w:tcBorders>
              <w:top w:val="single" w:sz="4" w:space="0" w:color="auto"/>
              <w:bottom w:val="single" w:sz="4" w:space="0" w:color="auto"/>
            </w:tcBorders>
          </w:tcPr>
          <w:p w14:paraId="29D9F31F" w14:textId="77777777" w:rsidR="001D1A38" w:rsidRPr="005F214C" w:rsidRDefault="001D1A38"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Percentage (%)</w:t>
            </w:r>
          </w:p>
        </w:tc>
      </w:tr>
      <w:tr w:rsidR="001D1A38" w:rsidRPr="005F214C" w14:paraId="18BDE1DF" w14:textId="77777777" w:rsidTr="001D1A38">
        <w:trPr>
          <w:trHeight w:val="255"/>
          <w:jc w:val="center"/>
        </w:trPr>
        <w:tc>
          <w:tcPr>
            <w:tcW w:w="2790" w:type="dxa"/>
            <w:tcBorders>
              <w:top w:val="single" w:sz="4" w:space="0" w:color="auto"/>
            </w:tcBorders>
          </w:tcPr>
          <w:p w14:paraId="19BE7147" w14:textId="77777777" w:rsidR="001D1A38" w:rsidRPr="005F214C" w:rsidRDefault="001D1A38"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Gender</w:t>
            </w:r>
          </w:p>
        </w:tc>
        <w:tc>
          <w:tcPr>
            <w:tcW w:w="1919" w:type="dxa"/>
            <w:tcBorders>
              <w:top w:val="single" w:sz="4" w:space="0" w:color="auto"/>
            </w:tcBorders>
          </w:tcPr>
          <w:p w14:paraId="3A0C6791" w14:textId="77777777" w:rsidR="001D1A38" w:rsidRPr="005F214C" w:rsidRDefault="001D1A38" w:rsidP="005F214C">
            <w:pPr>
              <w:widowControl w:val="0"/>
              <w:autoSpaceDE w:val="0"/>
              <w:autoSpaceDN w:val="0"/>
              <w:adjustRightInd w:val="0"/>
              <w:spacing w:after="0" w:line="240" w:lineRule="auto"/>
              <w:jc w:val="both"/>
              <w:rPr>
                <w:rFonts w:ascii="Times New Roman" w:hAnsi="Times New Roman" w:cs="Times New Roman"/>
                <w:sz w:val="24"/>
                <w:szCs w:val="24"/>
              </w:rPr>
            </w:pPr>
          </w:p>
        </w:tc>
        <w:tc>
          <w:tcPr>
            <w:tcW w:w="1919" w:type="dxa"/>
            <w:tcBorders>
              <w:top w:val="single" w:sz="4" w:space="0" w:color="auto"/>
            </w:tcBorders>
          </w:tcPr>
          <w:p w14:paraId="08EDF70D" w14:textId="77777777" w:rsidR="001D1A38" w:rsidRPr="005F214C" w:rsidRDefault="001D1A38" w:rsidP="005F214C">
            <w:pPr>
              <w:widowControl w:val="0"/>
              <w:autoSpaceDE w:val="0"/>
              <w:autoSpaceDN w:val="0"/>
              <w:adjustRightInd w:val="0"/>
              <w:spacing w:after="0" w:line="240" w:lineRule="auto"/>
              <w:jc w:val="both"/>
              <w:rPr>
                <w:rFonts w:ascii="Times New Roman" w:hAnsi="Times New Roman" w:cs="Times New Roman"/>
                <w:sz w:val="24"/>
                <w:szCs w:val="24"/>
              </w:rPr>
            </w:pPr>
          </w:p>
        </w:tc>
        <w:tc>
          <w:tcPr>
            <w:tcW w:w="1919" w:type="dxa"/>
            <w:tcBorders>
              <w:top w:val="single" w:sz="4" w:space="0" w:color="auto"/>
            </w:tcBorders>
          </w:tcPr>
          <w:p w14:paraId="2C2B6B3E" w14:textId="77777777" w:rsidR="001D1A38" w:rsidRPr="005F214C" w:rsidRDefault="001D1A38" w:rsidP="005F214C">
            <w:pPr>
              <w:widowControl w:val="0"/>
              <w:autoSpaceDE w:val="0"/>
              <w:autoSpaceDN w:val="0"/>
              <w:adjustRightInd w:val="0"/>
              <w:spacing w:after="0" w:line="240" w:lineRule="auto"/>
              <w:jc w:val="both"/>
              <w:rPr>
                <w:rFonts w:ascii="Times New Roman" w:hAnsi="Times New Roman" w:cs="Times New Roman"/>
                <w:sz w:val="24"/>
                <w:szCs w:val="24"/>
              </w:rPr>
            </w:pPr>
          </w:p>
        </w:tc>
      </w:tr>
      <w:tr w:rsidR="00942707" w:rsidRPr="005F214C" w14:paraId="4B648AEC" w14:textId="77777777" w:rsidTr="001D1A38">
        <w:trPr>
          <w:trHeight w:val="242"/>
          <w:jc w:val="center"/>
        </w:trPr>
        <w:tc>
          <w:tcPr>
            <w:tcW w:w="2790" w:type="dxa"/>
          </w:tcPr>
          <w:p w14:paraId="478EF244"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w:t>
            </w:r>
          </w:p>
        </w:tc>
        <w:tc>
          <w:tcPr>
            <w:tcW w:w="1919" w:type="dxa"/>
          </w:tcPr>
          <w:p w14:paraId="51F0F4C4"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Male</w:t>
            </w:r>
          </w:p>
        </w:tc>
        <w:tc>
          <w:tcPr>
            <w:tcW w:w="1919" w:type="dxa"/>
          </w:tcPr>
          <w:p w14:paraId="23EAE9C8"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186</w:t>
            </w:r>
          </w:p>
        </w:tc>
        <w:tc>
          <w:tcPr>
            <w:tcW w:w="1919" w:type="dxa"/>
          </w:tcPr>
          <w:p w14:paraId="06176AB0"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57.59</w:t>
            </w:r>
          </w:p>
        </w:tc>
      </w:tr>
      <w:tr w:rsidR="00942707" w:rsidRPr="005F214C" w14:paraId="5599F320" w14:textId="77777777" w:rsidTr="001D1A38">
        <w:trPr>
          <w:trHeight w:val="229"/>
          <w:jc w:val="center"/>
        </w:trPr>
        <w:tc>
          <w:tcPr>
            <w:tcW w:w="2790" w:type="dxa"/>
          </w:tcPr>
          <w:p w14:paraId="6B326748"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2</w:t>
            </w:r>
          </w:p>
        </w:tc>
        <w:tc>
          <w:tcPr>
            <w:tcW w:w="1919" w:type="dxa"/>
          </w:tcPr>
          <w:p w14:paraId="07B13669"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Female</w:t>
            </w:r>
          </w:p>
        </w:tc>
        <w:tc>
          <w:tcPr>
            <w:tcW w:w="1919" w:type="dxa"/>
          </w:tcPr>
          <w:p w14:paraId="34811A5C"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137</w:t>
            </w:r>
          </w:p>
        </w:tc>
        <w:tc>
          <w:tcPr>
            <w:tcW w:w="1919" w:type="dxa"/>
          </w:tcPr>
          <w:p w14:paraId="57DD0872"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42.41</w:t>
            </w:r>
          </w:p>
        </w:tc>
      </w:tr>
      <w:tr w:rsidR="00942707" w:rsidRPr="005F214C" w14:paraId="1AA33174" w14:textId="77777777" w:rsidTr="001D1A38">
        <w:trPr>
          <w:trHeight w:val="148"/>
          <w:jc w:val="center"/>
        </w:trPr>
        <w:tc>
          <w:tcPr>
            <w:tcW w:w="2790" w:type="dxa"/>
          </w:tcPr>
          <w:p w14:paraId="0E10FA2E"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Age</w:t>
            </w:r>
          </w:p>
        </w:tc>
        <w:tc>
          <w:tcPr>
            <w:tcW w:w="1919" w:type="dxa"/>
          </w:tcPr>
          <w:p w14:paraId="3C5A6B3C"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p>
        </w:tc>
        <w:tc>
          <w:tcPr>
            <w:tcW w:w="1919" w:type="dxa"/>
          </w:tcPr>
          <w:p w14:paraId="73D0C34C"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p>
        </w:tc>
        <w:tc>
          <w:tcPr>
            <w:tcW w:w="1919" w:type="dxa"/>
          </w:tcPr>
          <w:p w14:paraId="2AE12708"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p>
        </w:tc>
      </w:tr>
      <w:tr w:rsidR="00942707" w:rsidRPr="005F214C" w14:paraId="081D58FD" w14:textId="77777777" w:rsidTr="001D1A38">
        <w:trPr>
          <w:trHeight w:val="229"/>
          <w:jc w:val="center"/>
        </w:trPr>
        <w:tc>
          <w:tcPr>
            <w:tcW w:w="2790" w:type="dxa"/>
          </w:tcPr>
          <w:p w14:paraId="01ACF6ED"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w:t>
            </w:r>
          </w:p>
        </w:tc>
        <w:tc>
          <w:tcPr>
            <w:tcW w:w="1919" w:type="dxa"/>
          </w:tcPr>
          <w:p w14:paraId="63899605"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18 - 25 Years</w:t>
            </w:r>
          </w:p>
        </w:tc>
        <w:tc>
          <w:tcPr>
            <w:tcW w:w="1919" w:type="dxa"/>
          </w:tcPr>
          <w:p w14:paraId="304D394D"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39</w:t>
            </w:r>
          </w:p>
        </w:tc>
        <w:tc>
          <w:tcPr>
            <w:tcW w:w="1919" w:type="dxa"/>
          </w:tcPr>
          <w:p w14:paraId="1D9C16A4"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12.07</w:t>
            </w:r>
          </w:p>
        </w:tc>
      </w:tr>
      <w:tr w:rsidR="00942707" w:rsidRPr="005F214C" w14:paraId="16F0B015" w14:textId="77777777" w:rsidTr="001D1A38">
        <w:trPr>
          <w:trHeight w:val="242"/>
          <w:jc w:val="center"/>
        </w:trPr>
        <w:tc>
          <w:tcPr>
            <w:tcW w:w="2790" w:type="dxa"/>
          </w:tcPr>
          <w:p w14:paraId="68EB995B"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2</w:t>
            </w:r>
          </w:p>
        </w:tc>
        <w:tc>
          <w:tcPr>
            <w:tcW w:w="1919" w:type="dxa"/>
          </w:tcPr>
          <w:p w14:paraId="316721C9"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26 - 35 Years</w:t>
            </w:r>
          </w:p>
        </w:tc>
        <w:tc>
          <w:tcPr>
            <w:tcW w:w="1919" w:type="dxa"/>
          </w:tcPr>
          <w:p w14:paraId="5C87DACF"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108</w:t>
            </w:r>
          </w:p>
        </w:tc>
        <w:tc>
          <w:tcPr>
            <w:tcW w:w="1919" w:type="dxa"/>
          </w:tcPr>
          <w:p w14:paraId="62E21947"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33.44</w:t>
            </w:r>
          </w:p>
        </w:tc>
      </w:tr>
      <w:tr w:rsidR="00942707" w:rsidRPr="005F214C" w14:paraId="36DB6337" w14:textId="77777777" w:rsidTr="001D1A38">
        <w:trPr>
          <w:trHeight w:val="229"/>
          <w:jc w:val="center"/>
        </w:trPr>
        <w:tc>
          <w:tcPr>
            <w:tcW w:w="2790" w:type="dxa"/>
          </w:tcPr>
          <w:p w14:paraId="2A9FCFB3"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w:t>
            </w:r>
          </w:p>
        </w:tc>
        <w:tc>
          <w:tcPr>
            <w:tcW w:w="1919" w:type="dxa"/>
          </w:tcPr>
          <w:p w14:paraId="4FEFD719"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36- 45 Years</w:t>
            </w:r>
          </w:p>
        </w:tc>
        <w:tc>
          <w:tcPr>
            <w:tcW w:w="1919" w:type="dxa"/>
          </w:tcPr>
          <w:p w14:paraId="3F1BC874"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103</w:t>
            </w:r>
          </w:p>
        </w:tc>
        <w:tc>
          <w:tcPr>
            <w:tcW w:w="1919" w:type="dxa"/>
          </w:tcPr>
          <w:p w14:paraId="27E5D2F9"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31.89</w:t>
            </w:r>
          </w:p>
        </w:tc>
      </w:tr>
      <w:tr w:rsidR="00942707" w:rsidRPr="005F214C" w14:paraId="2C82D8B2" w14:textId="77777777" w:rsidTr="001D1A38">
        <w:trPr>
          <w:trHeight w:val="229"/>
          <w:jc w:val="center"/>
        </w:trPr>
        <w:tc>
          <w:tcPr>
            <w:tcW w:w="2790" w:type="dxa"/>
          </w:tcPr>
          <w:p w14:paraId="1979F6C5"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4</w:t>
            </w:r>
          </w:p>
        </w:tc>
        <w:tc>
          <w:tcPr>
            <w:tcW w:w="1919" w:type="dxa"/>
          </w:tcPr>
          <w:p w14:paraId="76FCA979"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46-55 Years</w:t>
            </w:r>
          </w:p>
        </w:tc>
        <w:tc>
          <w:tcPr>
            <w:tcW w:w="1919" w:type="dxa"/>
          </w:tcPr>
          <w:p w14:paraId="55FE72DA"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54</w:t>
            </w:r>
          </w:p>
        </w:tc>
        <w:tc>
          <w:tcPr>
            <w:tcW w:w="1919" w:type="dxa"/>
          </w:tcPr>
          <w:p w14:paraId="1D89049E"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16.72</w:t>
            </w:r>
          </w:p>
        </w:tc>
      </w:tr>
      <w:tr w:rsidR="00942707" w:rsidRPr="005F214C" w14:paraId="236EDC9C" w14:textId="77777777" w:rsidTr="001D1A38">
        <w:trPr>
          <w:trHeight w:val="242"/>
          <w:jc w:val="center"/>
        </w:trPr>
        <w:tc>
          <w:tcPr>
            <w:tcW w:w="2790" w:type="dxa"/>
          </w:tcPr>
          <w:p w14:paraId="32C00074"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5</w:t>
            </w:r>
          </w:p>
        </w:tc>
        <w:tc>
          <w:tcPr>
            <w:tcW w:w="1919" w:type="dxa"/>
          </w:tcPr>
          <w:p w14:paraId="0ADE292D"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56 and above</w:t>
            </w:r>
          </w:p>
        </w:tc>
        <w:tc>
          <w:tcPr>
            <w:tcW w:w="1919" w:type="dxa"/>
          </w:tcPr>
          <w:p w14:paraId="07DE5E52"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19</w:t>
            </w:r>
          </w:p>
        </w:tc>
        <w:tc>
          <w:tcPr>
            <w:tcW w:w="1919" w:type="dxa"/>
          </w:tcPr>
          <w:p w14:paraId="78D52163"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5.88</w:t>
            </w:r>
          </w:p>
        </w:tc>
      </w:tr>
      <w:tr w:rsidR="00942707" w:rsidRPr="005F214C" w14:paraId="2938CD65" w14:textId="77777777" w:rsidTr="001D1A38">
        <w:trPr>
          <w:trHeight w:val="60"/>
          <w:jc w:val="center"/>
        </w:trPr>
        <w:tc>
          <w:tcPr>
            <w:tcW w:w="2790" w:type="dxa"/>
          </w:tcPr>
          <w:p w14:paraId="6F121A12"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Educational Qualifications</w:t>
            </w:r>
          </w:p>
        </w:tc>
        <w:tc>
          <w:tcPr>
            <w:tcW w:w="1919" w:type="dxa"/>
            <w:vAlign w:val="bottom"/>
          </w:tcPr>
          <w:p w14:paraId="247F16BB"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p>
        </w:tc>
        <w:tc>
          <w:tcPr>
            <w:tcW w:w="1919" w:type="dxa"/>
          </w:tcPr>
          <w:p w14:paraId="3A97D6E1"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p>
        </w:tc>
        <w:tc>
          <w:tcPr>
            <w:tcW w:w="1919" w:type="dxa"/>
          </w:tcPr>
          <w:p w14:paraId="6E1B527F"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p>
        </w:tc>
      </w:tr>
      <w:tr w:rsidR="00942707" w:rsidRPr="005F214C" w14:paraId="2F46A364" w14:textId="77777777" w:rsidTr="001D1A38">
        <w:trPr>
          <w:trHeight w:val="229"/>
          <w:jc w:val="center"/>
        </w:trPr>
        <w:tc>
          <w:tcPr>
            <w:tcW w:w="2790" w:type="dxa"/>
          </w:tcPr>
          <w:p w14:paraId="032C6DE4"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w:t>
            </w:r>
          </w:p>
        </w:tc>
        <w:tc>
          <w:tcPr>
            <w:tcW w:w="1919" w:type="dxa"/>
            <w:vAlign w:val="bottom"/>
          </w:tcPr>
          <w:p w14:paraId="5A808145"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SSCE</w:t>
            </w:r>
          </w:p>
        </w:tc>
        <w:tc>
          <w:tcPr>
            <w:tcW w:w="1919" w:type="dxa"/>
          </w:tcPr>
          <w:p w14:paraId="0EEC0BD0"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11</w:t>
            </w:r>
          </w:p>
        </w:tc>
        <w:tc>
          <w:tcPr>
            <w:tcW w:w="1919" w:type="dxa"/>
          </w:tcPr>
          <w:p w14:paraId="108DE995"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3.41</w:t>
            </w:r>
          </w:p>
        </w:tc>
      </w:tr>
      <w:tr w:rsidR="00942707" w:rsidRPr="005F214C" w14:paraId="6BC64EF4" w14:textId="77777777" w:rsidTr="001D1A38">
        <w:trPr>
          <w:trHeight w:val="242"/>
          <w:jc w:val="center"/>
        </w:trPr>
        <w:tc>
          <w:tcPr>
            <w:tcW w:w="2790" w:type="dxa"/>
          </w:tcPr>
          <w:p w14:paraId="43F6F7E3"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2</w:t>
            </w:r>
          </w:p>
        </w:tc>
        <w:tc>
          <w:tcPr>
            <w:tcW w:w="1919" w:type="dxa"/>
            <w:vAlign w:val="bottom"/>
          </w:tcPr>
          <w:p w14:paraId="7490A105"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ND/Diploma</w:t>
            </w:r>
          </w:p>
        </w:tc>
        <w:tc>
          <w:tcPr>
            <w:tcW w:w="1919" w:type="dxa"/>
          </w:tcPr>
          <w:p w14:paraId="6B7E29AF"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39</w:t>
            </w:r>
          </w:p>
        </w:tc>
        <w:tc>
          <w:tcPr>
            <w:tcW w:w="1919" w:type="dxa"/>
          </w:tcPr>
          <w:p w14:paraId="62121BED"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12.07</w:t>
            </w:r>
          </w:p>
        </w:tc>
      </w:tr>
      <w:tr w:rsidR="00942707" w:rsidRPr="005F214C" w14:paraId="0D4E76B8" w14:textId="77777777" w:rsidTr="001D1A38">
        <w:trPr>
          <w:trHeight w:val="229"/>
          <w:jc w:val="center"/>
        </w:trPr>
        <w:tc>
          <w:tcPr>
            <w:tcW w:w="2790" w:type="dxa"/>
          </w:tcPr>
          <w:p w14:paraId="31CFCA26"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w:t>
            </w:r>
          </w:p>
        </w:tc>
        <w:tc>
          <w:tcPr>
            <w:tcW w:w="1919" w:type="dxa"/>
            <w:vAlign w:val="bottom"/>
          </w:tcPr>
          <w:p w14:paraId="0B8ACFAD"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HND/BSc</w:t>
            </w:r>
          </w:p>
        </w:tc>
        <w:tc>
          <w:tcPr>
            <w:tcW w:w="1919" w:type="dxa"/>
          </w:tcPr>
          <w:p w14:paraId="674DD857"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171</w:t>
            </w:r>
          </w:p>
        </w:tc>
        <w:tc>
          <w:tcPr>
            <w:tcW w:w="1919" w:type="dxa"/>
          </w:tcPr>
          <w:p w14:paraId="30718029"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52.94</w:t>
            </w:r>
          </w:p>
        </w:tc>
      </w:tr>
      <w:tr w:rsidR="00942707" w:rsidRPr="005F214C" w14:paraId="7123620F" w14:textId="77777777" w:rsidTr="001D1A38">
        <w:trPr>
          <w:trHeight w:val="229"/>
          <w:jc w:val="center"/>
        </w:trPr>
        <w:tc>
          <w:tcPr>
            <w:tcW w:w="2790" w:type="dxa"/>
          </w:tcPr>
          <w:p w14:paraId="162D31CF"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4</w:t>
            </w:r>
          </w:p>
        </w:tc>
        <w:tc>
          <w:tcPr>
            <w:tcW w:w="1919" w:type="dxa"/>
            <w:vAlign w:val="bottom"/>
          </w:tcPr>
          <w:p w14:paraId="5EDC982E"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PGD/MBA/MSc</w:t>
            </w:r>
          </w:p>
        </w:tc>
        <w:tc>
          <w:tcPr>
            <w:tcW w:w="1919" w:type="dxa"/>
          </w:tcPr>
          <w:p w14:paraId="4FC70F93"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83</w:t>
            </w:r>
          </w:p>
        </w:tc>
        <w:tc>
          <w:tcPr>
            <w:tcW w:w="1919" w:type="dxa"/>
          </w:tcPr>
          <w:p w14:paraId="22AD65B4"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25.7</w:t>
            </w:r>
          </w:p>
        </w:tc>
      </w:tr>
      <w:tr w:rsidR="00942707" w:rsidRPr="005F214C" w14:paraId="0A2A9097" w14:textId="77777777" w:rsidTr="001D1A38">
        <w:trPr>
          <w:trHeight w:val="242"/>
          <w:jc w:val="center"/>
        </w:trPr>
        <w:tc>
          <w:tcPr>
            <w:tcW w:w="2790" w:type="dxa"/>
          </w:tcPr>
          <w:p w14:paraId="7575D813"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5</w:t>
            </w:r>
          </w:p>
        </w:tc>
        <w:tc>
          <w:tcPr>
            <w:tcW w:w="1919" w:type="dxa"/>
            <w:vAlign w:val="bottom"/>
          </w:tcPr>
          <w:p w14:paraId="44EF5035"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Ph.D.</w:t>
            </w:r>
          </w:p>
        </w:tc>
        <w:tc>
          <w:tcPr>
            <w:tcW w:w="1919" w:type="dxa"/>
          </w:tcPr>
          <w:p w14:paraId="2BE4CC1C"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19</w:t>
            </w:r>
          </w:p>
        </w:tc>
        <w:tc>
          <w:tcPr>
            <w:tcW w:w="1919" w:type="dxa"/>
          </w:tcPr>
          <w:p w14:paraId="03771343"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5.88</w:t>
            </w:r>
          </w:p>
        </w:tc>
      </w:tr>
      <w:tr w:rsidR="00942707" w:rsidRPr="005F214C" w14:paraId="0BA9937F" w14:textId="77777777" w:rsidTr="001D1A38">
        <w:trPr>
          <w:trHeight w:val="241"/>
          <w:jc w:val="center"/>
        </w:trPr>
        <w:tc>
          <w:tcPr>
            <w:tcW w:w="8547" w:type="dxa"/>
            <w:gridSpan w:val="4"/>
          </w:tcPr>
          <w:p w14:paraId="1DF99A85"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Year of Experience (Library Usage)</w:t>
            </w:r>
          </w:p>
        </w:tc>
      </w:tr>
      <w:tr w:rsidR="00942707" w:rsidRPr="005F214C" w14:paraId="0F43D051" w14:textId="77777777" w:rsidTr="001D1A38">
        <w:trPr>
          <w:trHeight w:val="229"/>
          <w:jc w:val="center"/>
        </w:trPr>
        <w:tc>
          <w:tcPr>
            <w:tcW w:w="2790" w:type="dxa"/>
          </w:tcPr>
          <w:p w14:paraId="038C24F0"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w:t>
            </w:r>
          </w:p>
        </w:tc>
        <w:tc>
          <w:tcPr>
            <w:tcW w:w="1919" w:type="dxa"/>
            <w:vAlign w:val="bottom"/>
          </w:tcPr>
          <w:p w14:paraId="3271CEB3"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Less than a Year </w:t>
            </w:r>
          </w:p>
        </w:tc>
        <w:tc>
          <w:tcPr>
            <w:tcW w:w="1919" w:type="dxa"/>
          </w:tcPr>
          <w:p w14:paraId="531375C1"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69</w:t>
            </w:r>
          </w:p>
        </w:tc>
        <w:tc>
          <w:tcPr>
            <w:tcW w:w="1919" w:type="dxa"/>
          </w:tcPr>
          <w:p w14:paraId="2C9946F4"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21.36</w:t>
            </w:r>
          </w:p>
        </w:tc>
      </w:tr>
      <w:tr w:rsidR="00942707" w:rsidRPr="005F214C" w14:paraId="5D353639" w14:textId="77777777" w:rsidTr="001D1A38">
        <w:trPr>
          <w:trHeight w:val="242"/>
          <w:jc w:val="center"/>
        </w:trPr>
        <w:tc>
          <w:tcPr>
            <w:tcW w:w="2790" w:type="dxa"/>
          </w:tcPr>
          <w:p w14:paraId="379B6674"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2</w:t>
            </w:r>
          </w:p>
        </w:tc>
        <w:tc>
          <w:tcPr>
            <w:tcW w:w="1919" w:type="dxa"/>
            <w:vAlign w:val="bottom"/>
          </w:tcPr>
          <w:p w14:paraId="5FB63E5D"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1-5 Years</w:t>
            </w:r>
          </w:p>
        </w:tc>
        <w:tc>
          <w:tcPr>
            <w:tcW w:w="1919" w:type="dxa"/>
          </w:tcPr>
          <w:p w14:paraId="6D8367E6"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98</w:t>
            </w:r>
          </w:p>
        </w:tc>
        <w:tc>
          <w:tcPr>
            <w:tcW w:w="1919" w:type="dxa"/>
          </w:tcPr>
          <w:p w14:paraId="6535D4E5"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30.34</w:t>
            </w:r>
          </w:p>
        </w:tc>
      </w:tr>
      <w:tr w:rsidR="00942707" w:rsidRPr="005F214C" w14:paraId="5BEB766E" w14:textId="77777777" w:rsidTr="00B5669F">
        <w:trPr>
          <w:trHeight w:val="229"/>
          <w:jc w:val="center"/>
        </w:trPr>
        <w:tc>
          <w:tcPr>
            <w:tcW w:w="2790" w:type="dxa"/>
          </w:tcPr>
          <w:p w14:paraId="5D6E0B29"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w:t>
            </w:r>
          </w:p>
        </w:tc>
        <w:tc>
          <w:tcPr>
            <w:tcW w:w="1919" w:type="dxa"/>
            <w:vAlign w:val="bottom"/>
          </w:tcPr>
          <w:p w14:paraId="61AF17A8"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6-10 Years</w:t>
            </w:r>
          </w:p>
        </w:tc>
        <w:tc>
          <w:tcPr>
            <w:tcW w:w="1919" w:type="dxa"/>
          </w:tcPr>
          <w:p w14:paraId="152B7A3A"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39</w:t>
            </w:r>
          </w:p>
        </w:tc>
        <w:tc>
          <w:tcPr>
            <w:tcW w:w="1919" w:type="dxa"/>
          </w:tcPr>
          <w:p w14:paraId="3FFCAFA7"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12.07</w:t>
            </w:r>
          </w:p>
        </w:tc>
      </w:tr>
      <w:tr w:rsidR="00942707" w:rsidRPr="005F214C" w14:paraId="6B198DB5" w14:textId="77777777" w:rsidTr="00B5669F">
        <w:trPr>
          <w:trHeight w:val="229"/>
          <w:jc w:val="center"/>
        </w:trPr>
        <w:tc>
          <w:tcPr>
            <w:tcW w:w="2790" w:type="dxa"/>
            <w:tcBorders>
              <w:bottom w:val="single" w:sz="4" w:space="0" w:color="auto"/>
            </w:tcBorders>
          </w:tcPr>
          <w:p w14:paraId="732B2EDA"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2</w:t>
            </w:r>
          </w:p>
        </w:tc>
        <w:tc>
          <w:tcPr>
            <w:tcW w:w="1919" w:type="dxa"/>
            <w:tcBorders>
              <w:bottom w:val="single" w:sz="4" w:space="0" w:color="auto"/>
            </w:tcBorders>
            <w:vAlign w:val="bottom"/>
          </w:tcPr>
          <w:p w14:paraId="5AB159AE"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11 &amp; above</w:t>
            </w:r>
          </w:p>
        </w:tc>
        <w:tc>
          <w:tcPr>
            <w:tcW w:w="1919" w:type="dxa"/>
            <w:tcBorders>
              <w:bottom w:val="single" w:sz="4" w:space="0" w:color="auto"/>
            </w:tcBorders>
          </w:tcPr>
          <w:p w14:paraId="60CA450C"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117</w:t>
            </w:r>
          </w:p>
        </w:tc>
        <w:tc>
          <w:tcPr>
            <w:tcW w:w="1919" w:type="dxa"/>
            <w:tcBorders>
              <w:bottom w:val="single" w:sz="4" w:space="0" w:color="auto"/>
            </w:tcBorders>
          </w:tcPr>
          <w:p w14:paraId="4AC7B939" w14:textId="77777777" w:rsidR="00942707" w:rsidRPr="005F214C" w:rsidRDefault="00942707" w:rsidP="005F214C">
            <w:pPr>
              <w:widowControl w:val="0"/>
              <w:autoSpaceDE w:val="0"/>
              <w:autoSpaceDN w:val="0"/>
              <w:adjustRightInd w:val="0"/>
              <w:spacing w:after="0" w:line="240" w:lineRule="auto"/>
              <w:jc w:val="both"/>
              <w:rPr>
                <w:rFonts w:ascii="Times New Roman" w:hAnsi="Times New Roman" w:cs="Times New Roman"/>
                <w:sz w:val="24"/>
                <w:szCs w:val="24"/>
              </w:rPr>
            </w:pPr>
            <w:r w:rsidRPr="005F214C">
              <w:rPr>
                <w:rFonts w:ascii="Times New Roman" w:hAnsi="Times New Roman" w:cs="Times New Roman"/>
                <w:sz w:val="24"/>
                <w:szCs w:val="24"/>
              </w:rPr>
              <w:t>36.22</w:t>
            </w:r>
          </w:p>
        </w:tc>
      </w:tr>
      <w:tr w:rsidR="00B5669F" w:rsidRPr="005F214C" w14:paraId="0F491D13" w14:textId="77777777" w:rsidTr="00B5669F">
        <w:trPr>
          <w:trHeight w:val="229"/>
          <w:jc w:val="center"/>
        </w:trPr>
        <w:tc>
          <w:tcPr>
            <w:tcW w:w="8547" w:type="dxa"/>
            <w:gridSpan w:val="4"/>
            <w:tcBorders>
              <w:top w:val="single" w:sz="4" w:space="0" w:color="auto"/>
            </w:tcBorders>
          </w:tcPr>
          <w:p w14:paraId="4E5E35F7" w14:textId="77777777" w:rsidR="00B5669F" w:rsidRPr="005F214C" w:rsidRDefault="00B5669F" w:rsidP="005F214C">
            <w:pPr>
              <w:widowControl w:val="0"/>
              <w:autoSpaceDE w:val="0"/>
              <w:autoSpaceDN w:val="0"/>
              <w:adjustRightInd w:val="0"/>
              <w:spacing w:after="240" w:line="240" w:lineRule="auto"/>
              <w:jc w:val="both"/>
              <w:rPr>
                <w:rFonts w:ascii="Times New Roman" w:hAnsi="Times New Roman" w:cs="Times New Roman"/>
                <w:sz w:val="24"/>
                <w:szCs w:val="24"/>
              </w:rPr>
            </w:pPr>
            <w:r w:rsidRPr="005F214C">
              <w:rPr>
                <w:rFonts w:ascii="Times New Roman" w:hAnsi="Times New Roman" w:cs="Times New Roman"/>
                <w:sz w:val="24"/>
                <w:szCs w:val="24"/>
              </w:rPr>
              <w:t>Sources: Authors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Computation using SPSS</w:t>
            </w:r>
          </w:p>
        </w:tc>
      </w:tr>
    </w:tbl>
    <w:p w14:paraId="02ED1B4D" w14:textId="23DFF274" w:rsidR="007F104A" w:rsidRPr="005F214C" w:rsidRDefault="00771B99" w:rsidP="005F214C">
      <w:pPr>
        <w:pStyle w:val="Heading1"/>
        <w:jc w:val="both"/>
        <w:rPr>
          <w:rFonts w:cs="Times New Roman"/>
          <w:szCs w:val="24"/>
        </w:rPr>
      </w:pPr>
      <w:r w:rsidRPr="005F214C">
        <w:rPr>
          <w:rFonts w:cs="Times New Roman"/>
          <w:szCs w:val="24"/>
        </w:rPr>
        <w:lastRenderedPageBreak/>
        <w:t>RESULTS AND DISCUSSION</w:t>
      </w:r>
    </w:p>
    <w:p w14:paraId="5D3D11B1" w14:textId="77777777" w:rsidR="007F104A" w:rsidRPr="005F214C" w:rsidRDefault="007F104A"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This section presents the results of the data analysis and discusses the findings in relation to the objectives of the study. Out of the determined sample size of 384 respondents, a total of 323 valid responses were received, representing a response rate of approximately 84%. The data were analysed using descriptive and inferential statistics, specifically frequencies, percentages, and Chi-square tests. The results provide insights into respondents' demographic characteristics, levels of awareness, usage patterns, and perceptions of the National Library of Nigeria's digital transformation. Findings are interpreted within the Diffusion of Innovations Theory framework and compared with relevant literature to highlight patterns, implications, and areas for improvement.</w:t>
      </w:r>
    </w:p>
    <w:p w14:paraId="1890CC22" w14:textId="7AFFEB71" w:rsidR="007961C2" w:rsidRPr="005F214C" w:rsidRDefault="007961C2"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The demographic analysis of the 323 respondents reveals a diverse yet balanced representation of users engaging with the National Library of Nigeria. Regarding gender, 57.59% were male, while 42.41% were female. Most respondents were between the ages of 26 and 35 (33.44%) and 36–45 (31.89%), indicating that most users fall within active working-age brackets. Educationally, a significant portion (52.94%) held HND/BSc qualifications, followed by 25.7% with postgraduate degrees (PGD/MBA/MSc), suggesting a well-educated user base. Regarding experience with library usage, 36.22% had over 11 years of experience, while 30.34% had used the library for 1–5 years. This distribution reflects a strong presence of both long-term and moderately experienced users, highlighting a stable and knowledgeable audience base for NLN's digital services.</w:t>
      </w:r>
    </w:p>
    <w:p w14:paraId="0ADCA067" w14:textId="77777777" w:rsidR="00DE4181" w:rsidRPr="005F214C" w:rsidRDefault="00D81839" w:rsidP="005F214C">
      <w:pPr>
        <w:spacing w:after="0" w:line="240" w:lineRule="auto"/>
        <w:jc w:val="both"/>
        <w:rPr>
          <w:rFonts w:ascii="Times New Roman" w:hAnsi="Times New Roman" w:cs="Times New Roman"/>
          <w:sz w:val="24"/>
          <w:szCs w:val="24"/>
        </w:rPr>
      </w:pPr>
      <w:r w:rsidRPr="005F214C">
        <w:rPr>
          <w:rFonts w:ascii="Times New Roman" w:hAnsi="Times New Roman" w:cs="Times New Roman"/>
          <w:noProof/>
          <w:sz w:val="24"/>
          <w:szCs w:val="24"/>
          <w:lang w:val="en-US" w:eastAsia="en-US"/>
        </w:rPr>
        <w:drawing>
          <wp:inline distT="0" distB="0" distL="0" distR="0" wp14:anchorId="49A6D506" wp14:editId="67710DE5">
            <wp:extent cx="5399405" cy="3308350"/>
            <wp:effectExtent l="0" t="0" r="0" b="0"/>
            <wp:docPr id="3672670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024584" w14:textId="77777777" w:rsidR="00DE4181" w:rsidRPr="005F214C" w:rsidRDefault="00D81839" w:rsidP="005F214C">
      <w:pPr>
        <w:spacing w:after="0" w:line="240" w:lineRule="auto"/>
        <w:jc w:val="both"/>
        <w:rPr>
          <w:rFonts w:ascii="Times New Roman" w:hAnsi="Times New Roman" w:cs="Times New Roman"/>
          <w:b/>
          <w:bCs/>
          <w:sz w:val="24"/>
          <w:szCs w:val="24"/>
        </w:rPr>
      </w:pPr>
      <w:r w:rsidRPr="005F214C">
        <w:rPr>
          <w:rFonts w:ascii="Times New Roman" w:hAnsi="Times New Roman" w:cs="Times New Roman"/>
          <w:b/>
          <w:bCs/>
          <w:sz w:val="24"/>
          <w:szCs w:val="24"/>
        </w:rPr>
        <w:t xml:space="preserve">Figure </w:t>
      </w:r>
      <w:r w:rsidR="006B62B1" w:rsidRPr="005F214C">
        <w:rPr>
          <w:rFonts w:ascii="Times New Roman" w:hAnsi="Times New Roman" w:cs="Times New Roman"/>
          <w:b/>
          <w:bCs/>
          <w:sz w:val="24"/>
          <w:szCs w:val="24"/>
        </w:rPr>
        <w:t xml:space="preserve">1 </w:t>
      </w:r>
      <w:r w:rsidRPr="005F214C">
        <w:rPr>
          <w:rFonts w:ascii="Times New Roman" w:hAnsi="Times New Roman" w:cs="Times New Roman"/>
          <w:b/>
          <w:bCs/>
          <w:sz w:val="24"/>
          <w:szCs w:val="24"/>
        </w:rPr>
        <w:t xml:space="preserve">Occupational </w:t>
      </w:r>
      <w:r w:rsidR="006B62B1" w:rsidRPr="005F214C">
        <w:rPr>
          <w:rFonts w:ascii="Times New Roman" w:hAnsi="Times New Roman" w:cs="Times New Roman"/>
          <w:b/>
          <w:bCs/>
          <w:sz w:val="24"/>
          <w:szCs w:val="24"/>
        </w:rPr>
        <w:t xml:space="preserve">Distribution </w:t>
      </w:r>
    </w:p>
    <w:p w14:paraId="6B31B856" w14:textId="77777777" w:rsidR="00B5669F" w:rsidRPr="005F214C" w:rsidRDefault="00B5669F" w:rsidP="005F214C">
      <w:pPr>
        <w:spacing w:after="240" w:line="240" w:lineRule="auto"/>
        <w:jc w:val="both"/>
        <w:rPr>
          <w:rFonts w:ascii="Times New Roman" w:hAnsi="Times New Roman" w:cs="Times New Roman"/>
          <w:b/>
          <w:bCs/>
          <w:sz w:val="24"/>
          <w:szCs w:val="24"/>
        </w:rPr>
      </w:pPr>
      <w:r w:rsidRPr="005F214C">
        <w:rPr>
          <w:rFonts w:ascii="Times New Roman" w:hAnsi="Times New Roman" w:cs="Times New Roman"/>
          <w:sz w:val="24"/>
          <w:szCs w:val="24"/>
        </w:rPr>
        <w:t>Sources: Authors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Computation using SPSS</w:t>
      </w:r>
    </w:p>
    <w:p w14:paraId="6DA9692B" w14:textId="77777777" w:rsidR="00D81839" w:rsidRPr="005F214C" w:rsidRDefault="00D81839"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lastRenderedPageBreak/>
        <w:t xml:space="preserve">The occupational distribution of the 323 respondents reveals that librarians represent the majority, accounting for 10.53% of the total sample. </w:t>
      </w:r>
      <w:r w:rsidR="0090187C" w:rsidRPr="005F214C">
        <w:rPr>
          <w:rFonts w:ascii="Times New Roman" w:hAnsi="Times New Roman" w:cs="Times New Roman"/>
          <w:sz w:val="24"/>
          <w:szCs w:val="24"/>
        </w:rPr>
        <w:t>Researchers/academics and students follow thi</w:t>
      </w:r>
      <w:r w:rsidRPr="005F214C">
        <w:rPr>
          <w:rFonts w:ascii="Times New Roman" w:hAnsi="Times New Roman" w:cs="Times New Roman"/>
          <w:sz w:val="24"/>
          <w:szCs w:val="24"/>
        </w:rPr>
        <w:t xml:space="preserve">s, each constituting 2.48%, while government officials </w:t>
      </w:r>
      <w:r w:rsidR="0090187C" w:rsidRPr="005F214C">
        <w:rPr>
          <w:rFonts w:ascii="Times New Roman" w:hAnsi="Times New Roman" w:cs="Times New Roman"/>
          <w:sz w:val="24"/>
          <w:szCs w:val="24"/>
        </w:rPr>
        <w:t>comprise</w:t>
      </w:r>
      <w:r w:rsidRPr="005F214C">
        <w:rPr>
          <w:rFonts w:ascii="Times New Roman" w:hAnsi="Times New Roman" w:cs="Times New Roman"/>
          <w:sz w:val="24"/>
          <w:szCs w:val="24"/>
        </w:rPr>
        <w:t xml:space="preserve"> 1.55%. Other occupations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such as IT specialists and publishers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represent 0.62% each. The remaining categories—including entrepreneurs, quantity surveyors, library assistants, and others—constitute only 0.31% of the respondents. This distribution suggests that professional librarians are the most engaged user group in the digital services of the National Library of Nigeria</w:t>
      </w:r>
      <w:r w:rsidR="0090187C" w:rsidRPr="005F214C">
        <w:rPr>
          <w:rFonts w:ascii="Times New Roman" w:hAnsi="Times New Roman" w:cs="Times New Roman"/>
          <w:sz w:val="24"/>
          <w:szCs w:val="24"/>
        </w:rPr>
        <w:t>. In contrast,</w:t>
      </w:r>
      <w:r w:rsidRPr="005F214C">
        <w:rPr>
          <w:rFonts w:ascii="Times New Roman" w:hAnsi="Times New Roman" w:cs="Times New Roman"/>
          <w:sz w:val="24"/>
          <w:szCs w:val="24"/>
        </w:rPr>
        <w:t xml:space="preserve"> broader engagement from other user categories remains limited.</w:t>
      </w:r>
    </w:p>
    <w:p w14:paraId="173480A6" w14:textId="77777777" w:rsidR="00D81839" w:rsidRPr="005F214C" w:rsidRDefault="00D81839" w:rsidP="005F214C">
      <w:pPr>
        <w:pStyle w:val="Heading2"/>
        <w:jc w:val="both"/>
        <w:rPr>
          <w:rFonts w:cs="Times New Roman"/>
          <w:szCs w:val="24"/>
        </w:rPr>
      </w:pPr>
      <w:r w:rsidRPr="005F214C">
        <w:rPr>
          <w:rFonts w:cs="Times New Roman"/>
          <w:szCs w:val="24"/>
        </w:rPr>
        <w:t>Test of Hypotheses</w:t>
      </w:r>
    </w:p>
    <w:p w14:paraId="543814AE" w14:textId="77777777" w:rsidR="00DA7C61" w:rsidRPr="005F214C" w:rsidRDefault="00E038C8"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This section </w:t>
      </w:r>
      <w:r w:rsidR="0090187C" w:rsidRPr="005F214C">
        <w:rPr>
          <w:rFonts w:ascii="Times New Roman" w:hAnsi="Times New Roman" w:cs="Times New Roman"/>
          <w:sz w:val="24"/>
          <w:szCs w:val="24"/>
        </w:rPr>
        <w:t>tests</w:t>
      </w:r>
      <w:r w:rsidRPr="005F214C">
        <w:rPr>
          <w:rFonts w:ascii="Times New Roman" w:hAnsi="Times New Roman" w:cs="Times New Roman"/>
          <w:sz w:val="24"/>
          <w:szCs w:val="24"/>
        </w:rPr>
        <w:t xml:space="preserve"> hypotheses to determine whether significant relationships exist between users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demographic characteristics and responses to the National Library of Nigeria</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s digital transformation.</w:t>
      </w:r>
    </w:p>
    <w:p w14:paraId="067E2FC8" w14:textId="77777777" w:rsidR="00E038C8" w:rsidRPr="005F214C" w:rsidRDefault="00187FEE" w:rsidP="005F214C">
      <w:pPr>
        <w:jc w:val="both"/>
        <w:rPr>
          <w:rFonts w:ascii="Times New Roman" w:hAnsi="Times New Roman" w:cs="Times New Roman"/>
          <w:b/>
          <w:bCs/>
          <w:sz w:val="24"/>
          <w:szCs w:val="24"/>
        </w:rPr>
      </w:pPr>
      <w:r w:rsidRPr="005F214C">
        <w:rPr>
          <w:rFonts w:ascii="Times New Roman" w:hAnsi="Times New Roman" w:cs="Times New Roman"/>
          <w:b/>
          <w:bCs/>
          <w:sz w:val="24"/>
          <w:szCs w:val="24"/>
        </w:rPr>
        <w:t>H</w:t>
      </w:r>
      <w:r w:rsidRPr="005F214C">
        <w:rPr>
          <w:rFonts w:ascii="Times New Roman" w:hAnsi="Times New Roman" w:cs="Times New Roman"/>
          <w:b/>
          <w:bCs/>
          <w:sz w:val="24"/>
          <w:szCs w:val="24"/>
          <w:vertAlign w:val="subscript"/>
        </w:rPr>
        <w:t>O1</w:t>
      </w:r>
      <w:r w:rsidRPr="005F214C">
        <w:rPr>
          <w:rFonts w:ascii="Times New Roman" w:hAnsi="Times New Roman" w:cs="Times New Roman"/>
          <w:b/>
          <w:bCs/>
          <w:sz w:val="24"/>
          <w:szCs w:val="24"/>
        </w:rPr>
        <w:t>:</w:t>
      </w:r>
      <w:r w:rsidR="00B80867" w:rsidRPr="005F214C">
        <w:rPr>
          <w:rFonts w:ascii="Times New Roman" w:hAnsi="Times New Roman" w:cs="Times New Roman"/>
          <w:b/>
          <w:bCs/>
          <w:sz w:val="24"/>
          <w:szCs w:val="24"/>
        </w:rPr>
        <w:t xml:space="preserve"> </w:t>
      </w:r>
      <w:r w:rsidRPr="005F214C">
        <w:rPr>
          <w:rFonts w:ascii="Times New Roman" w:hAnsi="Times New Roman" w:cs="Times New Roman"/>
          <w:b/>
          <w:bCs/>
          <w:sz w:val="24"/>
          <w:szCs w:val="24"/>
        </w:rPr>
        <w:t>There is no statistically significant association between respondents' occupations and their responses to each aspect of the National Library of Nigeria</w:t>
      </w:r>
      <w:r w:rsidR="0090187C" w:rsidRPr="005F214C">
        <w:rPr>
          <w:rFonts w:ascii="Times New Roman" w:hAnsi="Times New Roman" w:cs="Times New Roman"/>
          <w:b/>
          <w:bCs/>
          <w:sz w:val="24"/>
          <w:szCs w:val="24"/>
        </w:rPr>
        <w:t>'</w:t>
      </w:r>
      <w:r w:rsidRPr="005F214C">
        <w:rPr>
          <w:rFonts w:ascii="Times New Roman" w:hAnsi="Times New Roman" w:cs="Times New Roman"/>
          <w:b/>
          <w:bCs/>
          <w:sz w:val="24"/>
          <w:szCs w:val="24"/>
        </w:rPr>
        <w:t>s digital transformation.</w:t>
      </w:r>
    </w:p>
    <w:p w14:paraId="2BE78BB5" w14:textId="02C5ED8A" w:rsidR="007961C2" w:rsidRPr="005F214C" w:rsidRDefault="007961C2"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The Chi-square test results indicate no statistically significant relationship between respondents' occupations and responses to key aspects of the National Library of Nigeria's digital transformation. Users across different professions demonstrated similar awareness of the shift from print to digital services (p = 0.6328), comparable usage frequencies (p = 0.4494), and aligned perceptions of effectiveness (p = 0.8529). Their views on the sufficiency of digital resources (p = 0.5760) and digital training access (p = 0.6920) were also not significantly different. This uniformity suggests systemic factors—such as infrastructure, service quality, or awareness—may affect all users similarly. Therefore, broad-based strategies may be more effective than occupation-specific interventions. Therefore, we cannot reject the null hypothesis. Occupation does not significantly influence users' awareness, usage, perception, or satisfaction with the National Library of Nigeria's digital transformation efforts.</w:t>
      </w:r>
    </w:p>
    <w:tbl>
      <w:tblPr>
        <w:tblStyle w:val="TableGrid"/>
        <w:tblW w:w="0" w:type="auto"/>
        <w:jc w:val="center"/>
        <w:tblLook w:val="04A0" w:firstRow="1" w:lastRow="0" w:firstColumn="1" w:lastColumn="0" w:noHBand="0" w:noVBand="1"/>
      </w:tblPr>
      <w:tblGrid>
        <w:gridCol w:w="1715"/>
        <w:gridCol w:w="1695"/>
        <w:gridCol w:w="910"/>
        <w:gridCol w:w="1350"/>
        <w:gridCol w:w="2340"/>
      </w:tblGrid>
      <w:tr w:rsidR="00DA7C61" w:rsidRPr="005F214C" w14:paraId="2025A0F1" w14:textId="77777777" w:rsidTr="008F51B7">
        <w:trPr>
          <w:jc w:val="center"/>
        </w:trPr>
        <w:tc>
          <w:tcPr>
            <w:tcW w:w="8010" w:type="dxa"/>
            <w:gridSpan w:val="5"/>
            <w:tcBorders>
              <w:top w:val="nil"/>
              <w:left w:val="nil"/>
              <w:bottom w:val="single" w:sz="4" w:space="0" w:color="auto"/>
              <w:right w:val="nil"/>
            </w:tcBorders>
          </w:tcPr>
          <w:p w14:paraId="31FBB398" w14:textId="77777777" w:rsidR="00DA7C61" w:rsidRPr="005F214C" w:rsidRDefault="00DA7C61" w:rsidP="005F214C">
            <w:pPr>
              <w:tabs>
                <w:tab w:val="left" w:pos="1290"/>
              </w:tabs>
              <w:jc w:val="both"/>
              <w:rPr>
                <w:rFonts w:ascii="Times New Roman" w:hAnsi="Times New Roman" w:cs="Times New Roman"/>
                <w:sz w:val="24"/>
                <w:szCs w:val="24"/>
              </w:rPr>
            </w:pPr>
            <w:r w:rsidRPr="005F214C">
              <w:rPr>
                <w:rFonts w:ascii="Times New Roman" w:hAnsi="Times New Roman" w:cs="Times New Roman"/>
                <w:sz w:val="24"/>
                <w:szCs w:val="24"/>
              </w:rPr>
              <w:t>Table 2 Chi-Square Test Results by Occupation</w:t>
            </w:r>
          </w:p>
        </w:tc>
      </w:tr>
      <w:tr w:rsidR="00DA7C61" w:rsidRPr="005F214C" w14:paraId="7F245309" w14:textId="77777777" w:rsidTr="008F51B7">
        <w:trPr>
          <w:jc w:val="center"/>
        </w:trPr>
        <w:tc>
          <w:tcPr>
            <w:tcW w:w="1715" w:type="dxa"/>
            <w:tcBorders>
              <w:top w:val="single" w:sz="4" w:space="0" w:color="auto"/>
            </w:tcBorders>
          </w:tcPr>
          <w:p w14:paraId="5E9C0568"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Question</w:t>
            </w:r>
          </w:p>
        </w:tc>
        <w:tc>
          <w:tcPr>
            <w:tcW w:w="1695" w:type="dxa"/>
            <w:tcBorders>
              <w:top w:val="single" w:sz="4" w:space="0" w:color="auto"/>
            </w:tcBorders>
          </w:tcPr>
          <w:p w14:paraId="2288480A"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Chi-square</w:t>
            </w:r>
          </w:p>
        </w:tc>
        <w:tc>
          <w:tcPr>
            <w:tcW w:w="910" w:type="dxa"/>
            <w:tcBorders>
              <w:top w:val="single" w:sz="4" w:space="0" w:color="auto"/>
            </w:tcBorders>
          </w:tcPr>
          <w:p w14:paraId="614078A1" w14:textId="77777777" w:rsidR="00DA7C61" w:rsidRPr="005F214C" w:rsidRDefault="00DA7C61" w:rsidP="005F214C">
            <w:pPr>
              <w:jc w:val="both"/>
              <w:rPr>
                <w:rFonts w:ascii="Times New Roman" w:hAnsi="Times New Roman" w:cs="Times New Roman"/>
                <w:sz w:val="24"/>
                <w:szCs w:val="24"/>
              </w:rPr>
            </w:pPr>
            <w:proofErr w:type="spellStart"/>
            <w:r w:rsidRPr="005F214C">
              <w:rPr>
                <w:rFonts w:ascii="Times New Roman" w:hAnsi="Times New Roman" w:cs="Times New Roman"/>
                <w:sz w:val="24"/>
                <w:szCs w:val="24"/>
              </w:rPr>
              <w:t>df</w:t>
            </w:r>
            <w:proofErr w:type="spellEnd"/>
          </w:p>
        </w:tc>
        <w:tc>
          <w:tcPr>
            <w:tcW w:w="1350" w:type="dxa"/>
            <w:tcBorders>
              <w:top w:val="single" w:sz="4" w:space="0" w:color="auto"/>
            </w:tcBorders>
          </w:tcPr>
          <w:p w14:paraId="01609FE5"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p-value</w:t>
            </w:r>
          </w:p>
        </w:tc>
        <w:tc>
          <w:tcPr>
            <w:tcW w:w="2340" w:type="dxa"/>
            <w:tcBorders>
              <w:top w:val="single" w:sz="4" w:space="0" w:color="auto"/>
            </w:tcBorders>
          </w:tcPr>
          <w:p w14:paraId="72E2BAC7"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Significant (p &lt; 0.05)</w:t>
            </w:r>
          </w:p>
        </w:tc>
      </w:tr>
      <w:tr w:rsidR="00DA7C61" w:rsidRPr="005F214C" w14:paraId="20453B9F" w14:textId="77777777" w:rsidTr="008F51B7">
        <w:trPr>
          <w:jc w:val="center"/>
        </w:trPr>
        <w:tc>
          <w:tcPr>
            <w:tcW w:w="1715" w:type="dxa"/>
          </w:tcPr>
          <w:p w14:paraId="2F92777B"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Transition</w:t>
            </w:r>
          </w:p>
        </w:tc>
        <w:tc>
          <w:tcPr>
            <w:tcW w:w="1695" w:type="dxa"/>
          </w:tcPr>
          <w:p w14:paraId="20FE833A"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9.808</w:t>
            </w:r>
          </w:p>
        </w:tc>
        <w:tc>
          <w:tcPr>
            <w:tcW w:w="910" w:type="dxa"/>
          </w:tcPr>
          <w:p w14:paraId="5EFCFDDE"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12</w:t>
            </w:r>
          </w:p>
        </w:tc>
        <w:tc>
          <w:tcPr>
            <w:tcW w:w="1350" w:type="dxa"/>
          </w:tcPr>
          <w:p w14:paraId="2AA41786"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0.6328</w:t>
            </w:r>
          </w:p>
        </w:tc>
        <w:tc>
          <w:tcPr>
            <w:tcW w:w="2340" w:type="dxa"/>
          </w:tcPr>
          <w:p w14:paraId="74273C67"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A7C61" w:rsidRPr="005F214C" w14:paraId="09084DAF" w14:textId="77777777" w:rsidTr="008F51B7">
        <w:trPr>
          <w:jc w:val="center"/>
        </w:trPr>
        <w:tc>
          <w:tcPr>
            <w:tcW w:w="1715" w:type="dxa"/>
          </w:tcPr>
          <w:p w14:paraId="1B0D1483"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Frequency</w:t>
            </w:r>
          </w:p>
        </w:tc>
        <w:tc>
          <w:tcPr>
            <w:tcW w:w="1695" w:type="dxa"/>
          </w:tcPr>
          <w:p w14:paraId="5FD89F95"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48.582</w:t>
            </w:r>
          </w:p>
        </w:tc>
        <w:tc>
          <w:tcPr>
            <w:tcW w:w="910" w:type="dxa"/>
          </w:tcPr>
          <w:p w14:paraId="146F0799"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48</w:t>
            </w:r>
          </w:p>
        </w:tc>
        <w:tc>
          <w:tcPr>
            <w:tcW w:w="1350" w:type="dxa"/>
          </w:tcPr>
          <w:p w14:paraId="028344B7"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0.4494</w:t>
            </w:r>
          </w:p>
        </w:tc>
        <w:tc>
          <w:tcPr>
            <w:tcW w:w="2340" w:type="dxa"/>
          </w:tcPr>
          <w:p w14:paraId="00EFC294"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A7C61" w:rsidRPr="005F214C" w14:paraId="77384BF5" w14:textId="77777777" w:rsidTr="008F51B7">
        <w:trPr>
          <w:jc w:val="center"/>
        </w:trPr>
        <w:tc>
          <w:tcPr>
            <w:tcW w:w="1715" w:type="dxa"/>
          </w:tcPr>
          <w:p w14:paraId="1E98F99A"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Effectiveness</w:t>
            </w:r>
          </w:p>
        </w:tc>
        <w:tc>
          <w:tcPr>
            <w:tcW w:w="1695" w:type="dxa"/>
          </w:tcPr>
          <w:p w14:paraId="6DAC5726"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27.248</w:t>
            </w:r>
          </w:p>
        </w:tc>
        <w:tc>
          <w:tcPr>
            <w:tcW w:w="910" w:type="dxa"/>
          </w:tcPr>
          <w:p w14:paraId="079846CB"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36</w:t>
            </w:r>
          </w:p>
        </w:tc>
        <w:tc>
          <w:tcPr>
            <w:tcW w:w="1350" w:type="dxa"/>
          </w:tcPr>
          <w:p w14:paraId="77E08221"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0.8529</w:t>
            </w:r>
          </w:p>
        </w:tc>
        <w:tc>
          <w:tcPr>
            <w:tcW w:w="2340" w:type="dxa"/>
          </w:tcPr>
          <w:p w14:paraId="7AED2884"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A7C61" w:rsidRPr="005F214C" w14:paraId="554541B5" w14:textId="77777777" w:rsidTr="008F51B7">
        <w:trPr>
          <w:jc w:val="center"/>
        </w:trPr>
        <w:tc>
          <w:tcPr>
            <w:tcW w:w="1715" w:type="dxa"/>
          </w:tcPr>
          <w:p w14:paraId="45C6E785"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Sufficiency</w:t>
            </w:r>
          </w:p>
        </w:tc>
        <w:tc>
          <w:tcPr>
            <w:tcW w:w="1695" w:type="dxa"/>
          </w:tcPr>
          <w:p w14:paraId="7AACBA58"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22.055</w:t>
            </w:r>
          </w:p>
        </w:tc>
        <w:tc>
          <w:tcPr>
            <w:tcW w:w="910" w:type="dxa"/>
          </w:tcPr>
          <w:p w14:paraId="4F75CACA"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24</w:t>
            </w:r>
          </w:p>
        </w:tc>
        <w:tc>
          <w:tcPr>
            <w:tcW w:w="1350" w:type="dxa"/>
          </w:tcPr>
          <w:p w14:paraId="74F174EE"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0.576</w:t>
            </w:r>
          </w:p>
        </w:tc>
        <w:tc>
          <w:tcPr>
            <w:tcW w:w="2340" w:type="dxa"/>
          </w:tcPr>
          <w:p w14:paraId="6E1FCE96"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A7C61" w:rsidRPr="005F214C" w14:paraId="24191789" w14:textId="77777777" w:rsidTr="008F51B7">
        <w:trPr>
          <w:jc w:val="center"/>
        </w:trPr>
        <w:tc>
          <w:tcPr>
            <w:tcW w:w="1715" w:type="dxa"/>
          </w:tcPr>
          <w:p w14:paraId="5CF6A846"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Training</w:t>
            </w:r>
          </w:p>
        </w:tc>
        <w:tc>
          <w:tcPr>
            <w:tcW w:w="1695" w:type="dxa"/>
          </w:tcPr>
          <w:p w14:paraId="7DA2785E"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9.127</w:t>
            </w:r>
          </w:p>
        </w:tc>
        <w:tc>
          <w:tcPr>
            <w:tcW w:w="910" w:type="dxa"/>
          </w:tcPr>
          <w:p w14:paraId="5CF0A06A"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12</w:t>
            </w:r>
          </w:p>
        </w:tc>
        <w:tc>
          <w:tcPr>
            <w:tcW w:w="1350" w:type="dxa"/>
          </w:tcPr>
          <w:p w14:paraId="1646DC80"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0.692</w:t>
            </w:r>
          </w:p>
        </w:tc>
        <w:tc>
          <w:tcPr>
            <w:tcW w:w="2340" w:type="dxa"/>
          </w:tcPr>
          <w:p w14:paraId="3785D3BF"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A7C61" w:rsidRPr="005F214C" w14:paraId="3EC6D5F5" w14:textId="77777777" w:rsidTr="008F51B7">
        <w:trPr>
          <w:jc w:val="center"/>
        </w:trPr>
        <w:tc>
          <w:tcPr>
            <w:tcW w:w="1715" w:type="dxa"/>
          </w:tcPr>
          <w:p w14:paraId="71A8B1BE"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Impact</w:t>
            </w:r>
          </w:p>
        </w:tc>
        <w:tc>
          <w:tcPr>
            <w:tcW w:w="1695" w:type="dxa"/>
          </w:tcPr>
          <w:p w14:paraId="6FB7B118"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49.035</w:t>
            </w:r>
          </w:p>
        </w:tc>
        <w:tc>
          <w:tcPr>
            <w:tcW w:w="910" w:type="dxa"/>
          </w:tcPr>
          <w:p w14:paraId="7511D549"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48</w:t>
            </w:r>
          </w:p>
        </w:tc>
        <w:tc>
          <w:tcPr>
            <w:tcW w:w="1350" w:type="dxa"/>
          </w:tcPr>
          <w:p w14:paraId="48303D31"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0.4314</w:t>
            </w:r>
          </w:p>
        </w:tc>
        <w:tc>
          <w:tcPr>
            <w:tcW w:w="2340" w:type="dxa"/>
          </w:tcPr>
          <w:p w14:paraId="7DA85B63"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A7C61" w:rsidRPr="005F214C" w14:paraId="27ED9A7F" w14:textId="77777777" w:rsidTr="008F51B7">
        <w:trPr>
          <w:jc w:val="center"/>
        </w:trPr>
        <w:tc>
          <w:tcPr>
            <w:tcW w:w="1715" w:type="dxa"/>
            <w:tcBorders>
              <w:bottom w:val="single" w:sz="4" w:space="0" w:color="auto"/>
            </w:tcBorders>
          </w:tcPr>
          <w:p w14:paraId="6D0AEE8B"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Satisfaction</w:t>
            </w:r>
          </w:p>
        </w:tc>
        <w:tc>
          <w:tcPr>
            <w:tcW w:w="1695" w:type="dxa"/>
            <w:tcBorders>
              <w:bottom w:val="single" w:sz="4" w:space="0" w:color="auto"/>
            </w:tcBorders>
          </w:tcPr>
          <w:p w14:paraId="576E42D4"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35.061</w:t>
            </w:r>
          </w:p>
        </w:tc>
        <w:tc>
          <w:tcPr>
            <w:tcW w:w="910" w:type="dxa"/>
            <w:tcBorders>
              <w:bottom w:val="single" w:sz="4" w:space="0" w:color="auto"/>
            </w:tcBorders>
          </w:tcPr>
          <w:p w14:paraId="3C06B46E"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48</w:t>
            </w:r>
          </w:p>
        </w:tc>
        <w:tc>
          <w:tcPr>
            <w:tcW w:w="1350" w:type="dxa"/>
            <w:tcBorders>
              <w:bottom w:val="single" w:sz="4" w:space="0" w:color="auto"/>
            </w:tcBorders>
          </w:tcPr>
          <w:p w14:paraId="6844ABA3"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0.9181</w:t>
            </w:r>
          </w:p>
        </w:tc>
        <w:tc>
          <w:tcPr>
            <w:tcW w:w="2340" w:type="dxa"/>
            <w:tcBorders>
              <w:bottom w:val="single" w:sz="4" w:space="0" w:color="auto"/>
            </w:tcBorders>
          </w:tcPr>
          <w:p w14:paraId="2D797797" w14:textId="77777777" w:rsidR="00DA7C61" w:rsidRPr="005F214C" w:rsidRDefault="00DA7C61"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25DBD" w:rsidRPr="005F214C" w14:paraId="5A927952" w14:textId="77777777" w:rsidTr="008F51B7">
        <w:trPr>
          <w:jc w:val="center"/>
        </w:trPr>
        <w:tc>
          <w:tcPr>
            <w:tcW w:w="8010" w:type="dxa"/>
            <w:gridSpan w:val="5"/>
            <w:tcBorders>
              <w:top w:val="single" w:sz="4" w:space="0" w:color="auto"/>
              <w:left w:val="nil"/>
              <w:bottom w:val="nil"/>
              <w:right w:val="nil"/>
            </w:tcBorders>
          </w:tcPr>
          <w:p w14:paraId="614CCE48" w14:textId="77777777" w:rsidR="00D25DBD" w:rsidRPr="005F214C" w:rsidRDefault="00D25DBD" w:rsidP="005F214C">
            <w:pPr>
              <w:spacing w:after="240"/>
              <w:jc w:val="both"/>
              <w:rPr>
                <w:rFonts w:ascii="Times New Roman" w:hAnsi="Times New Roman" w:cs="Times New Roman"/>
                <w:sz w:val="24"/>
                <w:szCs w:val="24"/>
              </w:rPr>
            </w:pPr>
            <w:r w:rsidRPr="005F214C">
              <w:rPr>
                <w:rFonts w:ascii="Times New Roman" w:hAnsi="Times New Roman" w:cs="Times New Roman"/>
                <w:sz w:val="24"/>
                <w:szCs w:val="24"/>
              </w:rPr>
              <w:t>Sources: Authors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Computation using SPSS</w:t>
            </w:r>
          </w:p>
        </w:tc>
      </w:tr>
    </w:tbl>
    <w:p w14:paraId="36AEE013" w14:textId="77777777" w:rsidR="00E038C8" w:rsidRPr="005F214C" w:rsidRDefault="00E038C8" w:rsidP="005F214C">
      <w:pPr>
        <w:jc w:val="both"/>
        <w:rPr>
          <w:rFonts w:ascii="Times New Roman" w:hAnsi="Times New Roman" w:cs="Times New Roman"/>
          <w:b/>
          <w:bCs/>
          <w:sz w:val="24"/>
          <w:szCs w:val="24"/>
        </w:rPr>
      </w:pPr>
      <w:r w:rsidRPr="005F214C">
        <w:rPr>
          <w:rFonts w:ascii="Times New Roman" w:hAnsi="Times New Roman" w:cs="Times New Roman"/>
          <w:b/>
          <w:bCs/>
          <w:sz w:val="24"/>
          <w:szCs w:val="24"/>
        </w:rPr>
        <w:lastRenderedPageBreak/>
        <w:t>H</w:t>
      </w:r>
      <w:r w:rsidRPr="005F214C">
        <w:rPr>
          <w:rFonts w:ascii="Times New Roman" w:hAnsi="Times New Roman" w:cs="Times New Roman"/>
          <w:b/>
          <w:bCs/>
          <w:sz w:val="24"/>
          <w:szCs w:val="24"/>
          <w:vertAlign w:val="subscript"/>
        </w:rPr>
        <w:t>O2</w:t>
      </w:r>
      <w:r w:rsidRPr="005F214C">
        <w:rPr>
          <w:rFonts w:ascii="Times New Roman" w:hAnsi="Times New Roman" w:cs="Times New Roman"/>
          <w:b/>
          <w:bCs/>
          <w:sz w:val="24"/>
          <w:szCs w:val="24"/>
        </w:rPr>
        <w:t>: There is no statistically significant association between respondents' educational qualifications and their responses to various aspects of the National Library of Nigeria</w:t>
      </w:r>
      <w:r w:rsidR="0090187C" w:rsidRPr="005F214C">
        <w:rPr>
          <w:rFonts w:ascii="Times New Roman" w:hAnsi="Times New Roman" w:cs="Times New Roman"/>
          <w:b/>
          <w:bCs/>
          <w:sz w:val="24"/>
          <w:szCs w:val="24"/>
        </w:rPr>
        <w:t>'</w:t>
      </w:r>
      <w:r w:rsidRPr="005F214C">
        <w:rPr>
          <w:rFonts w:ascii="Times New Roman" w:hAnsi="Times New Roman" w:cs="Times New Roman"/>
          <w:b/>
          <w:bCs/>
          <w:sz w:val="24"/>
          <w:szCs w:val="24"/>
        </w:rPr>
        <w:t xml:space="preserve">s digital transformation. </w:t>
      </w:r>
    </w:p>
    <w:tbl>
      <w:tblPr>
        <w:tblStyle w:val="TableGrid"/>
        <w:tblW w:w="0" w:type="auto"/>
        <w:jc w:val="center"/>
        <w:tblLook w:val="04A0" w:firstRow="1" w:lastRow="0" w:firstColumn="1" w:lastColumn="0" w:noHBand="0" w:noVBand="1"/>
      </w:tblPr>
      <w:tblGrid>
        <w:gridCol w:w="1761"/>
        <w:gridCol w:w="1684"/>
        <w:gridCol w:w="1055"/>
        <w:gridCol w:w="1170"/>
        <w:gridCol w:w="2340"/>
      </w:tblGrid>
      <w:tr w:rsidR="001B68A3" w:rsidRPr="005F214C" w14:paraId="6CB7EE8F" w14:textId="77777777" w:rsidTr="008F51B7">
        <w:trPr>
          <w:jc w:val="center"/>
        </w:trPr>
        <w:tc>
          <w:tcPr>
            <w:tcW w:w="8010" w:type="dxa"/>
            <w:gridSpan w:val="5"/>
            <w:tcBorders>
              <w:top w:val="nil"/>
              <w:left w:val="nil"/>
              <w:bottom w:val="single" w:sz="4" w:space="0" w:color="auto"/>
              <w:right w:val="nil"/>
            </w:tcBorders>
          </w:tcPr>
          <w:p w14:paraId="6DD703C1"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Chi-Square Test Results by Educational Qualification</w:t>
            </w:r>
          </w:p>
        </w:tc>
      </w:tr>
      <w:tr w:rsidR="001B68A3" w:rsidRPr="005F214C" w14:paraId="7B8B9D8D" w14:textId="77777777" w:rsidTr="008F51B7">
        <w:trPr>
          <w:jc w:val="center"/>
        </w:trPr>
        <w:tc>
          <w:tcPr>
            <w:tcW w:w="1761" w:type="dxa"/>
            <w:tcBorders>
              <w:top w:val="single" w:sz="4" w:space="0" w:color="auto"/>
            </w:tcBorders>
          </w:tcPr>
          <w:p w14:paraId="6747D012"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Question</w:t>
            </w:r>
          </w:p>
        </w:tc>
        <w:tc>
          <w:tcPr>
            <w:tcW w:w="1684" w:type="dxa"/>
            <w:tcBorders>
              <w:top w:val="single" w:sz="4" w:space="0" w:color="auto"/>
            </w:tcBorders>
          </w:tcPr>
          <w:p w14:paraId="49062093"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Chi-square</w:t>
            </w:r>
          </w:p>
        </w:tc>
        <w:tc>
          <w:tcPr>
            <w:tcW w:w="1055" w:type="dxa"/>
            <w:tcBorders>
              <w:top w:val="single" w:sz="4" w:space="0" w:color="auto"/>
            </w:tcBorders>
          </w:tcPr>
          <w:p w14:paraId="0B1C7FAC" w14:textId="77777777" w:rsidR="001B68A3" w:rsidRPr="005F214C" w:rsidRDefault="001B68A3" w:rsidP="005F214C">
            <w:pPr>
              <w:jc w:val="both"/>
              <w:rPr>
                <w:rFonts w:ascii="Times New Roman" w:hAnsi="Times New Roman" w:cs="Times New Roman"/>
                <w:sz w:val="24"/>
                <w:szCs w:val="24"/>
              </w:rPr>
            </w:pPr>
            <w:proofErr w:type="spellStart"/>
            <w:r w:rsidRPr="005F214C">
              <w:rPr>
                <w:rFonts w:ascii="Times New Roman" w:hAnsi="Times New Roman" w:cs="Times New Roman"/>
                <w:sz w:val="24"/>
                <w:szCs w:val="24"/>
              </w:rPr>
              <w:t>df</w:t>
            </w:r>
            <w:proofErr w:type="spellEnd"/>
          </w:p>
        </w:tc>
        <w:tc>
          <w:tcPr>
            <w:tcW w:w="1170" w:type="dxa"/>
            <w:tcBorders>
              <w:top w:val="single" w:sz="4" w:space="0" w:color="auto"/>
            </w:tcBorders>
          </w:tcPr>
          <w:p w14:paraId="5F5A9BE9"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p-value</w:t>
            </w:r>
          </w:p>
        </w:tc>
        <w:tc>
          <w:tcPr>
            <w:tcW w:w="2340" w:type="dxa"/>
            <w:tcBorders>
              <w:top w:val="single" w:sz="4" w:space="0" w:color="auto"/>
            </w:tcBorders>
          </w:tcPr>
          <w:p w14:paraId="321C1CDA"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Significant (p &lt; 0.05)</w:t>
            </w:r>
          </w:p>
        </w:tc>
      </w:tr>
      <w:tr w:rsidR="001B68A3" w:rsidRPr="005F214C" w14:paraId="6E2A28B3" w14:textId="77777777" w:rsidTr="008F51B7">
        <w:trPr>
          <w:jc w:val="center"/>
        </w:trPr>
        <w:tc>
          <w:tcPr>
            <w:tcW w:w="1761" w:type="dxa"/>
          </w:tcPr>
          <w:p w14:paraId="36281991"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Transition</w:t>
            </w:r>
          </w:p>
        </w:tc>
        <w:tc>
          <w:tcPr>
            <w:tcW w:w="1684" w:type="dxa"/>
          </w:tcPr>
          <w:p w14:paraId="3B69A685"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2.146</w:t>
            </w:r>
          </w:p>
        </w:tc>
        <w:tc>
          <w:tcPr>
            <w:tcW w:w="1055" w:type="dxa"/>
          </w:tcPr>
          <w:p w14:paraId="5F2603CC"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8</w:t>
            </w:r>
          </w:p>
        </w:tc>
        <w:tc>
          <w:tcPr>
            <w:tcW w:w="1170" w:type="dxa"/>
          </w:tcPr>
          <w:p w14:paraId="506C8DE3"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0.9762</w:t>
            </w:r>
          </w:p>
        </w:tc>
        <w:tc>
          <w:tcPr>
            <w:tcW w:w="2340" w:type="dxa"/>
          </w:tcPr>
          <w:p w14:paraId="6F8C2311"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1B68A3" w:rsidRPr="005F214C" w14:paraId="38462FE1" w14:textId="77777777" w:rsidTr="008F51B7">
        <w:trPr>
          <w:jc w:val="center"/>
        </w:trPr>
        <w:tc>
          <w:tcPr>
            <w:tcW w:w="1761" w:type="dxa"/>
          </w:tcPr>
          <w:p w14:paraId="62686006"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Frequency</w:t>
            </w:r>
          </w:p>
        </w:tc>
        <w:tc>
          <w:tcPr>
            <w:tcW w:w="1684" w:type="dxa"/>
          </w:tcPr>
          <w:p w14:paraId="5938AFE7"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34.57</w:t>
            </w:r>
          </w:p>
        </w:tc>
        <w:tc>
          <w:tcPr>
            <w:tcW w:w="1055" w:type="dxa"/>
          </w:tcPr>
          <w:p w14:paraId="6EC11612"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32</w:t>
            </w:r>
          </w:p>
        </w:tc>
        <w:tc>
          <w:tcPr>
            <w:tcW w:w="1170" w:type="dxa"/>
          </w:tcPr>
          <w:p w14:paraId="007892A0"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0.3461</w:t>
            </w:r>
          </w:p>
        </w:tc>
        <w:tc>
          <w:tcPr>
            <w:tcW w:w="2340" w:type="dxa"/>
          </w:tcPr>
          <w:p w14:paraId="2C9DAEC3"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1B68A3" w:rsidRPr="005F214C" w14:paraId="6DCFA261" w14:textId="77777777" w:rsidTr="008F51B7">
        <w:trPr>
          <w:jc w:val="center"/>
        </w:trPr>
        <w:tc>
          <w:tcPr>
            <w:tcW w:w="1761" w:type="dxa"/>
          </w:tcPr>
          <w:p w14:paraId="77A7A330"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Effectiveness</w:t>
            </w:r>
          </w:p>
        </w:tc>
        <w:tc>
          <w:tcPr>
            <w:tcW w:w="1684" w:type="dxa"/>
          </w:tcPr>
          <w:p w14:paraId="752C65DD"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23.193</w:t>
            </w:r>
          </w:p>
        </w:tc>
        <w:tc>
          <w:tcPr>
            <w:tcW w:w="1055" w:type="dxa"/>
          </w:tcPr>
          <w:p w14:paraId="434CD22F"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24</w:t>
            </w:r>
          </w:p>
        </w:tc>
        <w:tc>
          <w:tcPr>
            <w:tcW w:w="1170" w:type="dxa"/>
          </w:tcPr>
          <w:p w14:paraId="75283B80"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0.5084</w:t>
            </w:r>
          </w:p>
        </w:tc>
        <w:tc>
          <w:tcPr>
            <w:tcW w:w="2340" w:type="dxa"/>
          </w:tcPr>
          <w:p w14:paraId="237F82F4"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1B68A3" w:rsidRPr="005F214C" w14:paraId="29A1B2AC" w14:textId="77777777" w:rsidTr="008F51B7">
        <w:trPr>
          <w:jc w:val="center"/>
        </w:trPr>
        <w:tc>
          <w:tcPr>
            <w:tcW w:w="1761" w:type="dxa"/>
          </w:tcPr>
          <w:p w14:paraId="519557FA"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Sufficiency</w:t>
            </w:r>
          </w:p>
        </w:tc>
        <w:tc>
          <w:tcPr>
            <w:tcW w:w="1684" w:type="dxa"/>
          </w:tcPr>
          <w:p w14:paraId="695CEBA8"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18.186</w:t>
            </w:r>
          </w:p>
        </w:tc>
        <w:tc>
          <w:tcPr>
            <w:tcW w:w="1055" w:type="dxa"/>
          </w:tcPr>
          <w:p w14:paraId="2CC98411"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16</w:t>
            </w:r>
          </w:p>
        </w:tc>
        <w:tc>
          <w:tcPr>
            <w:tcW w:w="1170" w:type="dxa"/>
          </w:tcPr>
          <w:p w14:paraId="49DC5991"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0.3131</w:t>
            </w:r>
          </w:p>
        </w:tc>
        <w:tc>
          <w:tcPr>
            <w:tcW w:w="2340" w:type="dxa"/>
          </w:tcPr>
          <w:p w14:paraId="2564DDE7"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1B68A3" w:rsidRPr="005F214C" w14:paraId="02C95E4F" w14:textId="77777777" w:rsidTr="008F51B7">
        <w:trPr>
          <w:jc w:val="center"/>
        </w:trPr>
        <w:tc>
          <w:tcPr>
            <w:tcW w:w="1761" w:type="dxa"/>
          </w:tcPr>
          <w:p w14:paraId="3B503C76"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Training</w:t>
            </w:r>
          </w:p>
        </w:tc>
        <w:tc>
          <w:tcPr>
            <w:tcW w:w="1684" w:type="dxa"/>
          </w:tcPr>
          <w:p w14:paraId="102C5BC1"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10.152</w:t>
            </w:r>
          </w:p>
        </w:tc>
        <w:tc>
          <w:tcPr>
            <w:tcW w:w="1055" w:type="dxa"/>
          </w:tcPr>
          <w:p w14:paraId="10C8A946"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8</w:t>
            </w:r>
          </w:p>
        </w:tc>
        <w:tc>
          <w:tcPr>
            <w:tcW w:w="1170" w:type="dxa"/>
          </w:tcPr>
          <w:p w14:paraId="7D1291B5"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0.2545</w:t>
            </w:r>
          </w:p>
        </w:tc>
        <w:tc>
          <w:tcPr>
            <w:tcW w:w="2340" w:type="dxa"/>
          </w:tcPr>
          <w:p w14:paraId="4C6CBE32"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1B68A3" w:rsidRPr="005F214C" w14:paraId="2FE91ED9" w14:textId="77777777" w:rsidTr="008F51B7">
        <w:trPr>
          <w:jc w:val="center"/>
        </w:trPr>
        <w:tc>
          <w:tcPr>
            <w:tcW w:w="1761" w:type="dxa"/>
          </w:tcPr>
          <w:p w14:paraId="02339D86"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Impact</w:t>
            </w:r>
          </w:p>
        </w:tc>
        <w:tc>
          <w:tcPr>
            <w:tcW w:w="1684" w:type="dxa"/>
          </w:tcPr>
          <w:p w14:paraId="112EC03A"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41.709</w:t>
            </w:r>
          </w:p>
        </w:tc>
        <w:tc>
          <w:tcPr>
            <w:tcW w:w="1055" w:type="dxa"/>
          </w:tcPr>
          <w:p w14:paraId="4991316E"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32</w:t>
            </w:r>
          </w:p>
        </w:tc>
        <w:tc>
          <w:tcPr>
            <w:tcW w:w="1170" w:type="dxa"/>
          </w:tcPr>
          <w:p w14:paraId="62221C4C"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0.1169</w:t>
            </w:r>
          </w:p>
        </w:tc>
        <w:tc>
          <w:tcPr>
            <w:tcW w:w="2340" w:type="dxa"/>
          </w:tcPr>
          <w:p w14:paraId="51A48758"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1B68A3" w:rsidRPr="005F214C" w14:paraId="6AE8B507" w14:textId="77777777" w:rsidTr="008F51B7">
        <w:trPr>
          <w:jc w:val="center"/>
        </w:trPr>
        <w:tc>
          <w:tcPr>
            <w:tcW w:w="1761" w:type="dxa"/>
            <w:tcBorders>
              <w:bottom w:val="single" w:sz="4" w:space="0" w:color="auto"/>
            </w:tcBorders>
          </w:tcPr>
          <w:p w14:paraId="1D51498B"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Satisfaction</w:t>
            </w:r>
          </w:p>
        </w:tc>
        <w:tc>
          <w:tcPr>
            <w:tcW w:w="1684" w:type="dxa"/>
            <w:tcBorders>
              <w:bottom w:val="single" w:sz="4" w:space="0" w:color="auto"/>
            </w:tcBorders>
          </w:tcPr>
          <w:p w14:paraId="527F23C0"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24.827</w:t>
            </w:r>
          </w:p>
        </w:tc>
        <w:tc>
          <w:tcPr>
            <w:tcW w:w="1055" w:type="dxa"/>
            <w:tcBorders>
              <w:bottom w:val="single" w:sz="4" w:space="0" w:color="auto"/>
            </w:tcBorders>
          </w:tcPr>
          <w:p w14:paraId="728B56D0"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32</w:t>
            </w:r>
          </w:p>
        </w:tc>
        <w:tc>
          <w:tcPr>
            <w:tcW w:w="1170" w:type="dxa"/>
            <w:tcBorders>
              <w:bottom w:val="single" w:sz="4" w:space="0" w:color="auto"/>
            </w:tcBorders>
          </w:tcPr>
          <w:p w14:paraId="668E5023"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0.813</w:t>
            </w:r>
          </w:p>
        </w:tc>
        <w:tc>
          <w:tcPr>
            <w:tcW w:w="2340" w:type="dxa"/>
            <w:tcBorders>
              <w:bottom w:val="single" w:sz="4" w:space="0" w:color="auto"/>
            </w:tcBorders>
          </w:tcPr>
          <w:p w14:paraId="7CA5422D" w14:textId="77777777" w:rsidR="001B68A3"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25DBD" w:rsidRPr="005F214C" w14:paraId="4A131BCB" w14:textId="77777777" w:rsidTr="008F51B7">
        <w:trPr>
          <w:jc w:val="center"/>
        </w:trPr>
        <w:tc>
          <w:tcPr>
            <w:tcW w:w="8010" w:type="dxa"/>
            <w:gridSpan w:val="5"/>
            <w:tcBorders>
              <w:top w:val="single" w:sz="4" w:space="0" w:color="auto"/>
              <w:left w:val="nil"/>
              <w:bottom w:val="nil"/>
              <w:right w:val="nil"/>
            </w:tcBorders>
          </w:tcPr>
          <w:p w14:paraId="7C75B0F8" w14:textId="77777777" w:rsidR="00D25DBD" w:rsidRPr="005F214C" w:rsidRDefault="00D25DBD" w:rsidP="005F214C">
            <w:pPr>
              <w:jc w:val="both"/>
              <w:rPr>
                <w:rFonts w:ascii="Times New Roman" w:hAnsi="Times New Roman" w:cs="Times New Roman"/>
                <w:sz w:val="24"/>
                <w:szCs w:val="24"/>
              </w:rPr>
            </w:pPr>
            <w:r w:rsidRPr="005F214C">
              <w:rPr>
                <w:rFonts w:ascii="Times New Roman" w:hAnsi="Times New Roman" w:cs="Times New Roman"/>
                <w:sz w:val="24"/>
                <w:szCs w:val="24"/>
              </w:rPr>
              <w:t>Sources: Authors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Computation using SPSS</w:t>
            </w:r>
          </w:p>
        </w:tc>
      </w:tr>
    </w:tbl>
    <w:p w14:paraId="5A1E24C5" w14:textId="77777777" w:rsidR="00187FEE" w:rsidRPr="005F214C" w:rsidRDefault="00187FEE" w:rsidP="005F214C">
      <w:pPr>
        <w:jc w:val="both"/>
        <w:rPr>
          <w:rFonts w:ascii="Times New Roman" w:hAnsi="Times New Roman" w:cs="Times New Roman"/>
          <w:sz w:val="24"/>
          <w:szCs w:val="24"/>
        </w:rPr>
      </w:pPr>
    </w:p>
    <w:p w14:paraId="5175743B" w14:textId="77777777" w:rsidR="007F104A" w:rsidRPr="005F214C" w:rsidRDefault="007F104A" w:rsidP="005F214C">
      <w:pPr>
        <w:spacing w:line="360" w:lineRule="auto"/>
        <w:jc w:val="both"/>
        <w:rPr>
          <w:rFonts w:ascii="Times New Roman" w:hAnsi="Times New Roman" w:cs="Times New Roman"/>
          <w:sz w:val="24"/>
          <w:szCs w:val="24"/>
        </w:rPr>
      </w:pPr>
      <w:r w:rsidRPr="005F214C">
        <w:rPr>
          <w:rFonts w:ascii="Times New Roman" w:hAnsi="Times New Roman" w:cs="Times New Roman"/>
          <w:sz w:val="24"/>
          <w:szCs w:val="24"/>
        </w:rPr>
        <w:t>The Chi-square test results examining the relationship between educational qualification and responses to key questions on the digital transformation of the National Library of Nigeria revealed no statistically significant associations. Specifically, the responses to awareness of the print-to-digital transition (p = 0.9762), frequency of digital service use (p = 0.3461), perceived effectiveness (p = 0.5084), sufficiency of digital resources (p = 0.3131), and training received (p = 0.2545) did not differ significantly across educational levels. This suggests that users' perceptions and experiences of NLN's digital services are consistent regardless of their academic background, indicating a uniform exposure to and impact of the library's digital initiatives across various educational groups. Therefore, the null hypothesis cannot be rejected. This confirms that differences in educational background do not significantly influence how users perceive or engage with the NLN's digital services.</w:t>
      </w:r>
    </w:p>
    <w:p w14:paraId="21F8CD08" w14:textId="77777777" w:rsidR="00187FEE" w:rsidRPr="005F214C" w:rsidRDefault="00187FEE" w:rsidP="005F214C">
      <w:pPr>
        <w:spacing w:before="120" w:after="120" w:line="360" w:lineRule="auto"/>
        <w:jc w:val="both"/>
        <w:rPr>
          <w:rFonts w:ascii="Times New Roman" w:hAnsi="Times New Roman" w:cs="Times New Roman"/>
          <w:b/>
          <w:bCs/>
          <w:sz w:val="24"/>
          <w:szCs w:val="24"/>
        </w:rPr>
      </w:pPr>
      <w:r w:rsidRPr="005F214C">
        <w:rPr>
          <w:rFonts w:ascii="Times New Roman" w:hAnsi="Times New Roman" w:cs="Times New Roman"/>
          <w:b/>
          <w:bCs/>
          <w:sz w:val="24"/>
          <w:szCs w:val="24"/>
        </w:rPr>
        <w:t>H</w:t>
      </w:r>
      <w:r w:rsidRPr="005F214C">
        <w:rPr>
          <w:rFonts w:ascii="Times New Roman" w:hAnsi="Times New Roman" w:cs="Times New Roman"/>
          <w:b/>
          <w:bCs/>
          <w:sz w:val="24"/>
          <w:szCs w:val="24"/>
          <w:vertAlign w:val="subscript"/>
        </w:rPr>
        <w:t>O3</w:t>
      </w:r>
      <w:r w:rsidRPr="005F214C">
        <w:rPr>
          <w:rFonts w:ascii="Times New Roman" w:hAnsi="Times New Roman" w:cs="Times New Roman"/>
          <w:b/>
          <w:bCs/>
          <w:sz w:val="24"/>
          <w:szCs w:val="24"/>
        </w:rPr>
        <w:t xml:space="preserve">: There is no statistically significant association between respondents' years of experience using the National Library of Nigeria and their responses to key aspects of its digital transformation. </w:t>
      </w:r>
    </w:p>
    <w:p w14:paraId="60DE7E53" w14:textId="77777777" w:rsidR="007F104A" w:rsidRPr="005F214C" w:rsidRDefault="007F104A"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The Chi-square test results examining the relationship between years of experience using the National Library of Nigeria (NLN) and user perceptions of its digital transformation revealed one statistically significant association. Specifically, a significant relationship was found between years of experience and the frequency of using NLN's digital services (p = 0.0455), indicating that how often users engage with digital offerings varies by their length of experience with the library. However, there were no significant associations between years of experience and other variables such as awareness of the print-to-digital transition (p = 0.3575), perceived effectiveness (p = 0.1748), sufficiency of digital resources (p = 0.4191), or training received (p = 0.1542). This suggests that, apart from usage frequency, user experiences and perceptions of the library's digital services remain relatively consistent across experience levels. Therefore, the null hypothesis is partially rejected. This means experience </w:t>
      </w:r>
      <w:r w:rsidRPr="005F214C">
        <w:rPr>
          <w:rFonts w:ascii="Times New Roman" w:hAnsi="Times New Roman" w:cs="Times New Roman"/>
          <w:sz w:val="24"/>
          <w:szCs w:val="24"/>
        </w:rPr>
        <w:lastRenderedPageBreak/>
        <w:t>influences how frequently users engage with digital services and how satisfied they are, but not their awareness, perceptions of effectiveness, or training received.</w:t>
      </w:r>
    </w:p>
    <w:tbl>
      <w:tblPr>
        <w:tblStyle w:val="TableGrid"/>
        <w:tblW w:w="0" w:type="auto"/>
        <w:jc w:val="center"/>
        <w:tblLook w:val="04A0" w:firstRow="1" w:lastRow="0" w:firstColumn="1" w:lastColumn="0" w:noHBand="0" w:noVBand="1"/>
      </w:tblPr>
      <w:tblGrid>
        <w:gridCol w:w="1890"/>
        <w:gridCol w:w="1620"/>
        <w:gridCol w:w="990"/>
        <w:gridCol w:w="1260"/>
        <w:gridCol w:w="2340"/>
      </w:tblGrid>
      <w:tr w:rsidR="00D81839" w:rsidRPr="005F214C" w14:paraId="0C8F9FAB" w14:textId="77777777" w:rsidTr="008F51B7">
        <w:trPr>
          <w:jc w:val="center"/>
        </w:trPr>
        <w:tc>
          <w:tcPr>
            <w:tcW w:w="8100" w:type="dxa"/>
            <w:gridSpan w:val="5"/>
            <w:tcBorders>
              <w:top w:val="nil"/>
              <w:left w:val="nil"/>
              <w:bottom w:val="single" w:sz="4" w:space="0" w:color="auto"/>
              <w:right w:val="nil"/>
            </w:tcBorders>
          </w:tcPr>
          <w:p w14:paraId="52A12EDC" w14:textId="77777777" w:rsidR="00D81839" w:rsidRPr="005F214C" w:rsidRDefault="001B68A3" w:rsidP="005F214C">
            <w:pPr>
              <w:jc w:val="both"/>
              <w:rPr>
                <w:rFonts w:ascii="Times New Roman" w:hAnsi="Times New Roman" w:cs="Times New Roman"/>
                <w:sz w:val="24"/>
                <w:szCs w:val="24"/>
              </w:rPr>
            </w:pPr>
            <w:r w:rsidRPr="005F214C">
              <w:rPr>
                <w:rFonts w:ascii="Times New Roman" w:hAnsi="Times New Roman" w:cs="Times New Roman"/>
                <w:sz w:val="24"/>
                <w:szCs w:val="24"/>
              </w:rPr>
              <w:t xml:space="preserve">Table 4 </w:t>
            </w:r>
            <w:r w:rsidR="00D81839" w:rsidRPr="005F214C">
              <w:rPr>
                <w:rFonts w:ascii="Times New Roman" w:hAnsi="Times New Roman" w:cs="Times New Roman"/>
                <w:sz w:val="24"/>
                <w:szCs w:val="24"/>
              </w:rPr>
              <w:t>Chi-Square Test Results by Years of Experience Using NLN</w:t>
            </w:r>
          </w:p>
        </w:tc>
      </w:tr>
      <w:tr w:rsidR="00D81839" w:rsidRPr="005F214C" w14:paraId="4F502B8F" w14:textId="77777777" w:rsidTr="008F51B7">
        <w:trPr>
          <w:jc w:val="center"/>
        </w:trPr>
        <w:tc>
          <w:tcPr>
            <w:tcW w:w="1890" w:type="dxa"/>
            <w:tcBorders>
              <w:top w:val="single" w:sz="4" w:space="0" w:color="auto"/>
            </w:tcBorders>
          </w:tcPr>
          <w:p w14:paraId="7CED0C41"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Question</w:t>
            </w:r>
          </w:p>
        </w:tc>
        <w:tc>
          <w:tcPr>
            <w:tcW w:w="1620" w:type="dxa"/>
            <w:tcBorders>
              <w:top w:val="single" w:sz="4" w:space="0" w:color="auto"/>
            </w:tcBorders>
          </w:tcPr>
          <w:p w14:paraId="2CFC0F1A"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Chi-square</w:t>
            </w:r>
          </w:p>
        </w:tc>
        <w:tc>
          <w:tcPr>
            <w:tcW w:w="990" w:type="dxa"/>
            <w:tcBorders>
              <w:top w:val="single" w:sz="4" w:space="0" w:color="auto"/>
            </w:tcBorders>
          </w:tcPr>
          <w:p w14:paraId="5CDC2B17" w14:textId="77777777" w:rsidR="00D81839" w:rsidRPr="005F214C" w:rsidRDefault="00D81839" w:rsidP="005F214C">
            <w:pPr>
              <w:jc w:val="both"/>
              <w:rPr>
                <w:rFonts w:ascii="Times New Roman" w:hAnsi="Times New Roman" w:cs="Times New Roman"/>
                <w:sz w:val="24"/>
                <w:szCs w:val="24"/>
              </w:rPr>
            </w:pPr>
            <w:proofErr w:type="spellStart"/>
            <w:r w:rsidRPr="005F214C">
              <w:rPr>
                <w:rFonts w:ascii="Times New Roman" w:hAnsi="Times New Roman" w:cs="Times New Roman"/>
                <w:sz w:val="24"/>
                <w:szCs w:val="24"/>
              </w:rPr>
              <w:t>df</w:t>
            </w:r>
            <w:proofErr w:type="spellEnd"/>
          </w:p>
        </w:tc>
        <w:tc>
          <w:tcPr>
            <w:tcW w:w="1260" w:type="dxa"/>
            <w:tcBorders>
              <w:top w:val="single" w:sz="4" w:space="0" w:color="auto"/>
            </w:tcBorders>
          </w:tcPr>
          <w:p w14:paraId="056DF89C"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p-value</w:t>
            </w:r>
          </w:p>
        </w:tc>
        <w:tc>
          <w:tcPr>
            <w:tcW w:w="2340" w:type="dxa"/>
            <w:tcBorders>
              <w:top w:val="single" w:sz="4" w:space="0" w:color="auto"/>
            </w:tcBorders>
          </w:tcPr>
          <w:p w14:paraId="66E737AF"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Significant (p &lt; 0.05)</w:t>
            </w:r>
          </w:p>
        </w:tc>
      </w:tr>
      <w:tr w:rsidR="00D81839" w:rsidRPr="005F214C" w14:paraId="71F48CAE" w14:textId="77777777" w:rsidTr="008F51B7">
        <w:trPr>
          <w:jc w:val="center"/>
        </w:trPr>
        <w:tc>
          <w:tcPr>
            <w:tcW w:w="1890" w:type="dxa"/>
          </w:tcPr>
          <w:p w14:paraId="51A3F7DF"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Transition</w:t>
            </w:r>
          </w:p>
        </w:tc>
        <w:tc>
          <w:tcPr>
            <w:tcW w:w="1620" w:type="dxa"/>
          </w:tcPr>
          <w:p w14:paraId="1A690792"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3.23</w:t>
            </w:r>
          </w:p>
        </w:tc>
        <w:tc>
          <w:tcPr>
            <w:tcW w:w="990" w:type="dxa"/>
          </w:tcPr>
          <w:p w14:paraId="4A54328C"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3</w:t>
            </w:r>
          </w:p>
        </w:tc>
        <w:tc>
          <w:tcPr>
            <w:tcW w:w="1260" w:type="dxa"/>
          </w:tcPr>
          <w:p w14:paraId="1B23FBC7"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0.3575</w:t>
            </w:r>
          </w:p>
        </w:tc>
        <w:tc>
          <w:tcPr>
            <w:tcW w:w="2340" w:type="dxa"/>
          </w:tcPr>
          <w:p w14:paraId="4E7ECFBE"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81839" w:rsidRPr="005F214C" w14:paraId="684CB01F" w14:textId="77777777" w:rsidTr="008F51B7">
        <w:trPr>
          <w:jc w:val="center"/>
        </w:trPr>
        <w:tc>
          <w:tcPr>
            <w:tcW w:w="1890" w:type="dxa"/>
          </w:tcPr>
          <w:p w14:paraId="4DC5D530"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Frequency</w:t>
            </w:r>
          </w:p>
        </w:tc>
        <w:tc>
          <w:tcPr>
            <w:tcW w:w="1620" w:type="dxa"/>
          </w:tcPr>
          <w:p w14:paraId="39907485"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21.347</w:t>
            </w:r>
          </w:p>
        </w:tc>
        <w:tc>
          <w:tcPr>
            <w:tcW w:w="990" w:type="dxa"/>
          </w:tcPr>
          <w:p w14:paraId="75D2E33C"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12</w:t>
            </w:r>
          </w:p>
        </w:tc>
        <w:tc>
          <w:tcPr>
            <w:tcW w:w="1260" w:type="dxa"/>
          </w:tcPr>
          <w:p w14:paraId="36647B98"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0.0455</w:t>
            </w:r>
          </w:p>
        </w:tc>
        <w:tc>
          <w:tcPr>
            <w:tcW w:w="2340" w:type="dxa"/>
          </w:tcPr>
          <w:p w14:paraId="47E6475E"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True</w:t>
            </w:r>
          </w:p>
        </w:tc>
      </w:tr>
      <w:tr w:rsidR="00D81839" w:rsidRPr="005F214C" w14:paraId="3DF4C45F" w14:textId="77777777" w:rsidTr="008F51B7">
        <w:trPr>
          <w:jc w:val="center"/>
        </w:trPr>
        <w:tc>
          <w:tcPr>
            <w:tcW w:w="1890" w:type="dxa"/>
          </w:tcPr>
          <w:p w14:paraId="610D8055"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Effectiveness</w:t>
            </w:r>
          </w:p>
        </w:tc>
        <w:tc>
          <w:tcPr>
            <w:tcW w:w="1620" w:type="dxa"/>
          </w:tcPr>
          <w:p w14:paraId="5E012C5F"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12.739</w:t>
            </w:r>
          </w:p>
        </w:tc>
        <w:tc>
          <w:tcPr>
            <w:tcW w:w="990" w:type="dxa"/>
          </w:tcPr>
          <w:p w14:paraId="6E101D23"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9</w:t>
            </w:r>
          </w:p>
        </w:tc>
        <w:tc>
          <w:tcPr>
            <w:tcW w:w="1260" w:type="dxa"/>
          </w:tcPr>
          <w:p w14:paraId="7B3AC5BE"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0.1748</w:t>
            </w:r>
          </w:p>
        </w:tc>
        <w:tc>
          <w:tcPr>
            <w:tcW w:w="2340" w:type="dxa"/>
          </w:tcPr>
          <w:p w14:paraId="18C0F7F2"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81839" w:rsidRPr="005F214C" w14:paraId="4E5E2948" w14:textId="77777777" w:rsidTr="008F51B7">
        <w:trPr>
          <w:jc w:val="center"/>
        </w:trPr>
        <w:tc>
          <w:tcPr>
            <w:tcW w:w="1890" w:type="dxa"/>
          </w:tcPr>
          <w:p w14:paraId="721E58F6"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Sufficiency</w:t>
            </w:r>
          </w:p>
        </w:tc>
        <w:tc>
          <w:tcPr>
            <w:tcW w:w="1620" w:type="dxa"/>
          </w:tcPr>
          <w:p w14:paraId="1147B727"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6.036</w:t>
            </w:r>
          </w:p>
        </w:tc>
        <w:tc>
          <w:tcPr>
            <w:tcW w:w="990" w:type="dxa"/>
          </w:tcPr>
          <w:p w14:paraId="074A084C"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6</w:t>
            </w:r>
          </w:p>
        </w:tc>
        <w:tc>
          <w:tcPr>
            <w:tcW w:w="1260" w:type="dxa"/>
          </w:tcPr>
          <w:p w14:paraId="3E2CF6C5"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0.4191</w:t>
            </w:r>
          </w:p>
        </w:tc>
        <w:tc>
          <w:tcPr>
            <w:tcW w:w="2340" w:type="dxa"/>
          </w:tcPr>
          <w:p w14:paraId="5E03AF05"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81839" w:rsidRPr="005F214C" w14:paraId="47F01DC7" w14:textId="77777777" w:rsidTr="008F51B7">
        <w:trPr>
          <w:jc w:val="center"/>
        </w:trPr>
        <w:tc>
          <w:tcPr>
            <w:tcW w:w="1890" w:type="dxa"/>
          </w:tcPr>
          <w:p w14:paraId="0D62A087"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Training</w:t>
            </w:r>
          </w:p>
        </w:tc>
        <w:tc>
          <w:tcPr>
            <w:tcW w:w="1620" w:type="dxa"/>
          </w:tcPr>
          <w:p w14:paraId="1BB507B4"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5.253</w:t>
            </w:r>
          </w:p>
        </w:tc>
        <w:tc>
          <w:tcPr>
            <w:tcW w:w="990" w:type="dxa"/>
          </w:tcPr>
          <w:p w14:paraId="0AF541C3"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3</w:t>
            </w:r>
          </w:p>
        </w:tc>
        <w:tc>
          <w:tcPr>
            <w:tcW w:w="1260" w:type="dxa"/>
          </w:tcPr>
          <w:p w14:paraId="7DE8803F"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0.1542</w:t>
            </w:r>
          </w:p>
        </w:tc>
        <w:tc>
          <w:tcPr>
            <w:tcW w:w="2340" w:type="dxa"/>
          </w:tcPr>
          <w:p w14:paraId="5B8CE9BF"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81839" w:rsidRPr="005F214C" w14:paraId="547A9AFB" w14:textId="77777777" w:rsidTr="008F51B7">
        <w:trPr>
          <w:jc w:val="center"/>
        </w:trPr>
        <w:tc>
          <w:tcPr>
            <w:tcW w:w="1890" w:type="dxa"/>
          </w:tcPr>
          <w:p w14:paraId="61B32984"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Impact</w:t>
            </w:r>
          </w:p>
        </w:tc>
        <w:tc>
          <w:tcPr>
            <w:tcW w:w="1620" w:type="dxa"/>
          </w:tcPr>
          <w:p w14:paraId="314C9F12"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12.663</w:t>
            </w:r>
          </w:p>
        </w:tc>
        <w:tc>
          <w:tcPr>
            <w:tcW w:w="990" w:type="dxa"/>
          </w:tcPr>
          <w:p w14:paraId="637F4184"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12</w:t>
            </w:r>
          </w:p>
        </w:tc>
        <w:tc>
          <w:tcPr>
            <w:tcW w:w="1260" w:type="dxa"/>
          </w:tcPr>
          <w:p w14:paraId="240145D6"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0.394</w:t>
            </w:r>
          </w:p>
        </w:tc>
        <w:tc>
          <w:tcPr>
            <w:tcW w:w="2340" w:type="dxa"/>
          </w:tcPr>
          <w:p w14:paraId="5FE0F742"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False</w:t>
            </w:r>
          </w:p>
        </w:tc>
      </w:tr>
      <w:tr w:rsidR="00D81839" w:rsidRPr="005F214C" w14:paraId="7ECA3B4A" w14:textId="77777777" w:rsidTr="008F51B7">
        <w:trPr>
          <w:jc w:val="center"/>
        </w:trPr>
        <w:tc>
          <w:tcPr>
            <w:tcW w:w="1890" w:type="dxa"/>
            <w:tcBorders>
              <w:bottom w:val="single" w:sz="4" w:space="0" w:color="auto"/>
            </w:tcBorders>
          </w:tcPr>
          <w:p w14:paraId="7E98809F"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Satisfaction</w:t>
            </w:r>
          </w:p>
        </w:tc>
        <w:tc>
          <w:tcPr>
            <w:tcW w:w="1620" w:type="dxa"/>
            <w:tcBorders>
              <w:bottom w:val="single" w:sz="4" w:space="0" w:color="auto"/>
            </w:tcBorders>
          </w:tcPr>
          <w:p w14:paraId="3B8B541D"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24.234</w:t>
            </w:r>
          </w:p>
        </w:tc>
        <w:tc>
          <w:tcPr>
            <w:tcW w:w="990" w:type="dxa"/>
            <w:tcBorders>
              <w:bottom w:val="single" w:sz="4" w:space="0" w:color="auto"/>
            </w:tcBorders>
          </w:tcPr>
          <w:p w14:paraId="6B26BC37"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12</w:t>
            </w:r>
          </w:p>
        </w:tc>
        <w:tc>
          <w:tcPr>
            <w:tcW w:w="1260" w:type="dxa"/>
            <w:tcBorders>
              <w:bottom w:val="single" w:sz="4" w:space="0" w:color="auto"/>
            </w:tcBorders>
          </w:tcPr>
          <w:p w14:paraId="480F8876"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0.0189</w:t>
            </w:r>
          </w:p>
        </w:tc>
        <w:tc>
          <w:tcPr>
            <w:tcW w:w="2340" w:type="dxa"/>
            <w:tcBorders>
              <w:bottom w:val="single" w:sz="4" w:space="0" w:color="auto"/>
            </w:tcBorders>
          </w:tcPr>
          <w:p w14:paraId="16F2E1B9" w14:textId="77777777" w:rsidR="00D81839" w:rsidRPr="005F214C" w:rsidRDefault="00D81839" w:rsidP="005F214C">
            <w:pPr>
              <w:jc w:val="both"/>
              <w:rPr>
                <w:rFonts w:ascii="Times New Roman" w:hAnsi="Times New Roman" w:cs="Times New Roman"/>
                <w:sz w:val="24"/>
                <w:szCs w:val="24"/>
              </w:rPr>
            </w:pPr>
            <w:r w:rsidRPr="005F214C">
              <w:rPr>
                <w:rFonts w:ascii="Times New Roman" w:hAnsi="Times New Roman" w:cs="Times New Roman"/>
                <w:sz w:val="24"/>
                <w:szCs w:val="24"/>
              </w:rPr>
              <w:t>True</w:t>
            </w:r>
          </w:p>
        </w:tc>
      </w:tr>
      <w:tr w:rsidR="00D25DBD" w:rsidRPr="005F214C" w14:paraId="6289AEA8" w14:textId="77777777" w:rsidTr="008F51B7">
        <w:trPr>
          <w:jc w:val="center"/>
        </w:trPr>
        <w:tc>
          <w:tcPr>
            <w:tcW w:w="8100" w:type="dxa"/>
            <w:gridSpan w:val="5"/>
            <w:tcBorders>
              <w:top w:val="single" w:sz="4" w:space="0" w:color="auto"/>
              <w:left w:val="nil"/>
              <w:bottom w:val="nil"/>
              <w:right w:val="nil"/>
            </w:tcBorders>
          </w:tcPr>
          <w:p w14:paraId="2F5171DB" w14:textId="77777777" w:rsidR="00D25DBD" w:rsidRPr="005F214C" w:rsidRDefault="00B5669F" w:rsidP="005F214C">
            <w:pPr>
              <w:spacing w:after="240"/>
              <w:jc w:val="both"/>
              <w:rPr>
                <w:rFonts w:ascii="Times New Roman" w:hAnsi="Times New Roman" w:cs="Times New Roman"/>
                <w:sz w:val="24"/>
                <w:szCs w:val="24"/>
              </w:rPr>
            </w:pPr>
            <w:r w:rsidRPr="005F214C">
              <w:rPr>
                <w:rFonts w:ascii="Times New Roman" w:hAnsi="Times New Roman" w:cs="Times New Roman"/>
                <w:sz w:val="24"/>
                <w:szCs w:val="24"/>
              </w:rPr>
              <w:t>Sources: Authors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Computation using SPSS</w:t>
            </w:r>
          </w:p>
        </w:tc>
      </w:tr>
    </w:tbl>
    <w:p w14:paraId="56FE438A" w14:textId="7DCB5E3E" w:rsidR="00DE4181" w:rsidRPr="005F214C" w:rsidRDefault="00771B99" w:rsidP="005F214C">
      <w:pPr>
        <w:pStyle w:val="Heading2"/>
        <w:jc w:val="both"/>
        <w:rPr>
          <w:rFonts w:cs="Times New Roman"/>
          <w:szCs w:val="24"/>
        </w:rPr>
      </w:pPr>
      <w:r w:rsidRPr="005F214C">
        <w:rPr>
          <w:rFonts w:cs="Times New Roman"/>
          <w:szCs w:val="24"/>
        </w:rPr>
        <w:t>DISCUSSION OF FINDINGS</w:t>
      </w:r>
    </w:p>
    <w:p w14:paraId="7371DD2C" w14:textId="77777777" w:rsidR="00DE4181" w:rsidRPr="005F214C" w:rsidRDefault="00DE418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The results of the chi-square analysis conducted in this study reveal that most users of the National Library of Nigeria (NLN), regardless of their occupation, educational background, or years of experience, perceive and interact with the library</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s digital services in remarkably similar ways. Significant relationships were largely absent, except for a notable association between years of experience and the frequency of digital service use (p = 0.0455). This finding suggests that more experienced users may </w:t>
      </w:r>
      <w:r w:rsidR="0090187C" w:rsidRPr="005F214C">
        <w:rPr>
          <w:rFonts w:ascii="Times New Roman" w:hAnsi="Times New Roman" w:cs="Times New Roman"/>
          <w:sz w:val="24"/>
          <w:szCs w:val="24"/>
        </w:rPr>
        <w:t>be more aware of or</w:t>
      </w:r>
      <w:r w:rsidRPr="005F214C">
        <w:rPr>
          <w:rFonts w:ascii="Times New Roman" w:hAnsi="Times New Roman" w:cs="Times New Roman"/>
          <w:sz w:val="24"/>
          <w:szCs w:val="24"/>
        </w:rPr>
        <w:t xml:space="preserve"> reliant on digital offerings than newer users. However, </w:t>
      </w:r>
      <w:r w:rsidR="0090187C" w:rsidRPr="005F214C">
        <w:rPr>
          <w:rFonts w:ascii="Times New Roman" w:hAnsi="Times New Roman" w:cs="Times New Roman"/>
          <w:sz w:val="24"/>
          <w:szCs w:val="24"/>
        </w:rPr>
        <w:t>no significant differences emerged across other key variables—including awareness of the digital shift, perceived effectiveness, sufficiency of resources, and satisfaction</w:t>
      </w:r>
      <w:r w:rsidRPr="005F214C">
        <w:rPr>
          <w:rFonts w:ascii="Times New Roman" w:hAnsi="Times New Roman" w:cs="Times New Roman"/>
          <w:sz w:val="24"/>
          <w:szCs w:val="24"/>
        </w:rPr>
        <w:t>. This homogeneity in perception could reflect a uniform rollout of digital services or a systemic limitation in how these services are accessed and experienced by diverse user groups.</w:t>
      </w:r>
    </w:p>
    <w:p w14:paraId="723ECB3B" w14:textId="77777777" w:rsidR="00DE4181" w:rsidRPr="005F214C" w:rsidRDefault="00DE418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When juxtaposed with current LIS literature, these findings underscore a critical point made by Wagner et al. (2024): the pandemic-induced digital transition has </w:t>
      </w:r>
      <w:r w:rsidR="0090187C" w:rsidRPr="005F214C">
        <w:rPr>
          <w:rFonts w:ascii="Times New Roman" w:hAnsi="Times New Roman" w:cs="Times New Roman"/>
          <w:sz w:val="24"/>
          <w:szCs w:val="24"/>
        </w:rPr>
        <w:t>reshaped LIS operations globally and</w:t>
      </w:r>
      <w:r w:rsidRPr="005F214C">
        <w:rPr>
          <w:rFonts w:ascii="Times New Roman" w:hAnsi="Times New Roman" w:cs="Times New Roman"/>
          <w:sz w:val="24"/>
          <w:szCs w:val="24"/>
        </w:rPr>
        <w:t xml:space="preserve"> emphasi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ed the need for inclusive and ethically grounded technological adoption. While global platforms like e-LIS (De Robbio, 2024) have enhanced accessibility and knowledge democrati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ation, the effectiveness of such innovations ultimately depends on the end users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ability to </w:t>
      </w:r>
      <w:r w:rsidR="0090187C" w:rsidRPr="005F214C">
        <w:rPr>
          <w:rFonts w:ascii="Times New Roman" w:hAnsi="Times New Roman" w:cs="Times New Roman"/>
          <w:sz w:val="24"/>
          <w:szCs w:val="24"/>
        </w:rPr>
        <w:t>engage with them meaningfully</w:t>
      </w:r>
      <w:r w:rsidRPr="005F214C">
        <w:rPr>
          <w:rFonts w:ascii="Times New Roman" w:hAnsi="Times New Roman" w:cs="Times New Roman"/>
          <w:sz w:val="24"/>
          <w:szCs w:val="24"/>
        </w:rPr>
        <w:t>. The lack of variation across educational and occupational lines in the NLN</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s context may indicate either a successful equali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ation of access or a more concerning uniformity rooted in widespread challenges such as low digital literacy, insufficient training, or inadequate infrastructure—issues that Pinto et al. (2024) and Pan et al. (2019) argue require urgent strategic focus in academic and national libraries.</w:t>
      </w:r>
    </w:p>
    <w:p w14:paraId="6E078626" w14:textId="77777777" w:rsidR="00DE4181" w:rsidRPr="005F214C" w:rsidRDefault="00DE418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Furthermore, the literature highlights the necessity for national institutions like the NLN to move beyond basic digiti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 xml:space="preserve">ation efforts and toward more transformative, user-centred innovations. As Cook </w:t>
      </w:r>
      <w:r w:rsidRPr="005F214C">
        <w:rPr>
          <w:rFonts w:ascii="Times New Roman" w:hAnsi="Times New Roman" w:cs="Times New Roman"/>
          <w:sz w:val="24"/>
          <w:szCs w:val="24"/>
        </w:rPr>
        <w:lastRenderedPageBreak/>
        <w:t xml:space="preserve">(2024) and </w:t>
      </w:r>
      <w:proofErr w:type="spellStart"/>
      <w:r w:rsidRPr="005F214C">
        <w:rPr>
          <w:rFonts w:ascii="Times New Roman" w:hAnsi="Times New Roman" w:cs="Times New Roman"/>
          <w:sz w:val="24"/>
          <w:szCs w:val="24"/>
        </w:rPr>
        <w:t>Gorichanaz</w:t>
      </w:r>
      <w:proofErr w:type="spellEnd"/>
      <w:r w:rsidRPr="005F214C">
        <w:rPr>
          <w:rFonts w:ascii="Times New Roman" w:hAnsi="Times New Roman" w:cs="Times New Roman"/>
          <w:sz w:val="24"/>
          <w:szCs w:val="24"/>
        </w:rPr>
        <w:t xml:space="preserve"> (2024) emphasi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 xml:space="preserve">e, immersive technologies and progressive pedagogical strategies are key to future-ready librarianship. </w:t>
      </w:r>
      <w:r w:rsidR="0090187C" w:rsidRPr="005F214C">
        <w:rPr>
          <w:rFonts w:ascii="Times New Roman" w:hAnsi="Times New Roman" w:cs="Times New Roman"/>
          <w:sz w:val="24"/>
          <w:szCs w:val="24"/>
        </w:rPr>
        <w:t>Adopting AI, as explored by Edam-Agbor et al. (2024), offers immense potential but</w:t>
      </w:r>
      <w:r w:rsidRPr="005F214C">
        <w:rPr>
          <w:rFonts w:ascii="Times New Roman" w:hAnsi="Times New Roman" w:cs="Times New Roman"/>
          <w:sz w:val="24"/>
          <w:szCs w:val="24"/>
        </w:rPr>
        <w:t xml:space="preserve"> risks reinforcing existing inequalities unless equitably implemented. In this light, the NLN</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s uniform user responses could signal a readiness for next-level digital services </w:t>
      </w:r>
      <w:r w:rsidR="0090187C" w:rsidRPr="005F214C">
        <w:rPr>
          <w:rFonts w:ascii="Times New Roman" w:hAnsi="Times New Roman" w:cs="Times New Roman"/>
          <w:sz w:val="24"/>
          <w:szCs w:val="24"/>
        </w:rPr>
        <w:t>and</w:t>
      </w:r>
      <w:r w:rsidRPr="005F214C">
        <w:rPr>
          <w:rFonts w:ascii="Times New Roman" w:hAnsi="Times New Roman" w:cs="Times New Roman"/>
          <w:sz w:val="24"/>
          <w:szCs w:val="24"/>
        </w:rPr>
        <w:t xml:space="preserve"> a cautionary indicator of systemic gaps in training, outreach, or resource diversity. To stay aligned with global LIS trends and meet the evolving needs of its users, the NLN must invest in continuous digital literacy programs, infrastructural upgrades, and inclusive innovation that </w:t>
      </w:r>
      <w:r w:rsidR="0090187C" w:rsidRPr="005F214C">
        <w:rPr>
          <w:rFonts w:ascii="Times New Roman" w:hAnsi="Times New Roman" w:cs="Times New Roman"/>
          <w:sz w:val="24"/>
          <w:szCs w:val="24"/>
        </w:rPr>
        <w:t>provide access and</w:t>
      </w:r>
      <w:r w:rsidRPr="005F214C">
        <w:rPr>
          <w:rFonts w:ascii="Times New Roman" w:hAnsi="Times New Roman" w:cs="Times New Roman"/>
          <w:sz w:val="24"/>
          <w:szCs w:val="24"/>
        </w:rPr>
        <w:t xml:space="preserve"> empower users to </w:t>
      </w:r>
      <w:r w:rsidR="0090187C" w:rsidRPr="005F214C">
        <w:rPr>
          <w:rFonts w:ascii="Times New Roman" w:hAnsi="Times New Roman" w:cs="Times New Roman"/>
          <w:sz w:val="24"/>
          <w:szCs w:val="24"/>
        </w:rPr>
        <w:t>utilise digital tools fully</w:t>
      </w:r>
      <w:r w:rsidRPr="005F214C">
        <w:rPr>
          <w:rFonts w:ascii="Times New Roman" w:hAnsi="Times New Roman" w:cs="Times New Roman"/>
          <w:sz w:val="24"/>
          <w:szCs w:val="24"/>
        </w:rPr>
        <w:t>.</w:t>
      </w:r>
    </w:p>
    <w:p w14:paraId="31B2596A" w14:textId="77777777" w:rsidR="005C10E1" w:rsidRPr="005F214C" w:rsidRDefault="00DE4181"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The findings of this study align closely with the Diffusion of Innovations Theory (DOI), particularly in understanding how various user groups within the National Library of Nigeria are adopting digital services. The absence of significant variation across educational qualifications and occupations and the single significant association with years of experience suggests that most users are positioned in the </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early majority</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or </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late majority</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adopter categories, reflecting a broad but cautious acceptance of digital innovations. According to Rogers (2003), adoption is influenced by perceived relative advantage, compatibility with existing practices, and complexity of use—factors that seem to impact users uniformly, indicating a shared institutional environment with similar benefits and barriers. For instance, challenges such as inadequate digital literacy or inconsistent exposure to training, as noted in the literature by Wagner et al. (2024) and Ezeani &amp; Izuchukwu (2024), may be limiting the visibility (observability) and trialability of new technologies. This consistency across demographics suggests the need for targeted strategies to support </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laggards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and further encourage </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early adopters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through improved infrastructure, user education, and clear communication of digital benefits—an approach that would accelerate diffusion and foster a more inclusive digital transformation of the NLN.</w:t>
      </w:r>
    </w:p>
    <w:p w14:paraId="221D09DB" w14:textId="4DA67200" w:rsidR="005C10E1" w:rsidRPr="005F214C" w:rsidRDefault="00771B99" w:rsidP="005F214C">
      <w:pPr>
        <w:pStyle w:val="Heading1"/>
        <w:jc w:val="both"/>
        <w:rPr>
          <w:rFonts w:cs="Times New Roman"/>
          <w:szCs w:val="24"/>
        </w:rPr>
      </w:pPr>
      <w:r w:rsidRPr="005F214C">
        <w:rPr>
          <w:rFonts w:cs="Times New Roman"/>
          <w:szCs w:val="24"/>
        </w:rPr>
        <w:t>CONCLUSION</w:t>
      </w:r>
    </w:p>
    <w:p w14:paraId="4F0FE1F0" w14:textId="77777777" w:rsidR="008E716E" w:rsidRPr="005F214C" w:rsidRDefault="008E716E"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t xml:space="preserve">This study assessed the perceptions and experiences of users regarding the digital transformation of the National Library of Nigeria (NLN), </w:t>
      </w:r>
      <w:r w:rsidR="0090187C" w:rsidRPr="005F214C">
        <w:rPr>
          <w:rFonts w:ascii="Times New Roman" w:hAnsi="Times New Roman" w:cs="Times New Roman"/>
          <w:sz w:val="24"/>
          <w:szCs w:val="24"/>
        </w:rPr>
        <w:t>focusing</w:t>
      </w:r>
      <w:r w:rsidRPr="005F214C">
        <w:rPr>
          <w:rFonts w:ascii="Times New Roman" w:hAnsi="Times New Roman" w:cs="Times New Roman"/>
          <w:sz w:val="24"/>
          <w:szCs w:val="24"/>
        </w:rPr>
        <w:t xml:space="preserve"> on how demographic variables such as occupation, educational qualification, and years of experience influence engagement with digital services. The findings revealed a largely uniform perception across most user categories, with no statistically significant differences observed in awareness, satisfaction, or perceived effectiveness of NLN</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s digital initiatives—except for a significant association between years of experience and the frequency of digital service use. These results suggest that while the digital transition is being recogni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ed, its reach and impact may be generali</w:t>
      </w:r>
      <w:r w:rsidR="009679C6" w:rsidRPr="005F214C">
        <w:rPr>
          <w:rFonts w:ascii="Times New Roman" w:hAnsi="Times New Roman" w:cs="Times New Roman"/>
          <w:sz w:val="24"/>
          <w:szCs w:val="24"/>
        </w:rPr>
        <w:t>s</w:t>
      </w:r>
      <w:r w:rsidRPr="005F214C">
        <w:rPr>
          <w:rFonts w:ascii="Times New Roman" w:hAnsi="Times New Roman" w:cs="Times New Roman"/>
          <w:sz w:val="24"/>
          <w:szCs w:val="24"/>
        </w:rPr>
        <w:t>ed rather than tailored to s</w:t>
      </w:r>
      <w:r w:rsidR="00EB2C02" w:rsidRPr="005F214C">
        <w:rPr>
          <w:rFonts w:ascii="Times New Roman" w:hAnsi="Times New Roman" w:cs="Times New Roman"/>
          <w:sz w:val="24"/>
          <w:szCs w:val="24"/>
        </w:rPr>
        <w:t>pecific user needs or roles. This points</w:t>
      </w:r>
      <w:r w:rsidRPr="005F214C">
        <w:rPr>
          <w:rFonts w:ascii="Times New Roman" w:hAnsi="Times New Roman" w:cs="Times New Roman"/>
          <w:sz w:val="24"/>
          <w:szCs w:val="24"/>
        </w:rPr>
        <w:t xml:space="preserve"> to both the strengths of a unified digital strategy and the limitations of a one-size-fits-all approach in fostering deeper user engagement and innovation adoption.</w:t>
      </w:r>
    </w:p>
    <w:p w14:paraId="79E3FA7D" w14:textId="7E3681F3" w:rsidR="007835C9" w:rsidRPr="005F214C" w:rsidRDefault="008E716E" w:rsidP="005F214C">
      <w:pPr>
        <w:spacing w:before="120" w:after="120" w:line="360" w:lineRule="auto"/>
        <w:jc w:val="both"/>
        <w:rPr>
          <w:rFonts w:ascii="Times New Roman" w:hAnsi="Times New Roman" w:cs="Times New Roman"/>
          <w:sz w:val="24"/>
          <w:szCs w:val="24"/>
        </w:rPr>
      </w:pPr>
      <w:r w:rsidRPr="005F214C">
        <w:rPr>
          <w:rFonts w:ascii="Times New Roman" w:hAnsi="Times New Roman" w:cs="Times New Roman"/>
          <w:sz w:val="24"/>
          <w:szCs w:val="24"/>
        </w:rPr>
        <w:lastRenderedPageBreak/>
        <w:t xml:space="preserve">To build on its digital transformation efforts, the NLN should implement targeted digital literacy training and awareness programs tailored to different user groups based on their experience levels and potential barriers to adoption. Leveraging the Diffusion of Innovations Theory, strategies should be developed to support laggards and late adopters while empowering innovators and early adopters to serve as digital ambassadors within their communities. Moreover, the library should invest in expanding its digital infrastructure, ensuring </w:t>
      </w:r>
      <w:r w:rsidR="0090187C" w:rsidRPr="005F214C">
        <w:rPr>
          <w:rFonts w:ascii="Times New Roman" w:hAnsi="Times New Roman" w:cs="Times New Roman"/>
          <w:sz w:val="24"/>
          <w:szCs w:val="24"/>
        </w:rPr>
        <w:t xml:space="preserve">the </w:t>
      </w:r>
      <w:r w:rsidRPr="005F214C">
        <w:rPr>
          <w:rFonts w:ascii="Times New Roman" w:hAnsi="Times New Roman" w:cs="Times New Roman"/>
          <w:sz w:val="24"/>
          <w:szCs w:val="24"/>
        </w:rPr>
        <w:t>trialability and observability of new technologies through pilot programs, demos, and user feedback loops. Continuous evaluation mechanisms should be established to assess the effectiveness of digital services and inform adaptive improvements. By aligning with global LIS standards and embracing inclusive innovation, the NLN can position itself as a leading institution in Africa</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s digital knowledge ecosystem</w:t>
      </w:r>
      <w:r w:rsidR="0090187C" w:rsidRPr="005F214C">
        <w:rPr>
          <w:rFonts w:ascii="Times New Roman" w:hAnsi="Times New Roman" w:cs="Times New Roman"/>
          <w:sz w:val="24"/>
          <w:szCs w:val="24"/>
        </w:rPr>
        <w:t>.</w:t>
      </w:r>
    </w:p>
    <w:p w14:paraId="3A0D8466" w14:textId="77777777" w:rsidR="005C10E1" w:rsidRPr="005F214C" w:rsidRDefault="005C10E1" w:rsidP="005F214C">
      <w:pPr>
        <w:pStyle w:val="Heading1"/>
        <w:jc w:val="both"/>
        <w:rPr>
          <w:rFonts w:cs="Times New Roman"/>
          <w:szCs w:val="24"/>
        </w:rPr>
      </w:pPr>
      <w:r w:rsidRPr="005F214C">
        <w:rPr>
          <w:rFonts w:cs="Times New Roman"/>
          <w:szCs w:val="24"/>
        </w:rPr>
        <w:t>References</w:t>
      </w:r>
    </w:p>
    <w:p w14:paraId="339D019D" w14:textId="77777777" w:rsidR="005C10E1" w:rsidRPr="005F214C" w:rsidRDefault="005C10E1" w:rsidP="005F214C">
      <w:pPr>
        <w:spacing w:before="120" w:after="120"/>
        <w:ind w:left="709" w:hanging="709"/>
        <w:jc w:val="both"/>
        <w:rPr>
          <w:rFonts w:ascii="Times New Roman" w:hAnsi="Times New Roman" w:cs="Times New Roman"/>
          <w:color w:val="222222"/>
          <w:sz w:val="24"/>
          <w:szCs w:val="24"/>
          <w:shd w:val="clear" w:color="auto" w:fill="FFFFFF"/>
        </w:rPr>
      </w:pPr>
      <w:r w:rsidRPr="005F214C">
        <w:rPr>
          <w:rFonts w:ascii="Times New Roman" w:hAnsi="Times New Roman" w:cs="Times New Roman"/>
          <w:sz w:val="24"/>
          <w:szCs w:val="24"/>
        </w:rPr>
        <w:t xml:space="preserve">Cook, M. (2024). The lifecycle of 3D data in academic libraries: A survey of methods and implications for information professionals. </w:t>
      </w:r>
      <w:r w:rsidRPr="005F214C">
        <w:rPr>
          <w:rFonts w:ascii="Times New Roman" w:hAnsi="Times New Roman" w:cs="Times New Roman"/>
          <w:i/>
          <w:iCs/>
          <w:sz w:val="24"/>
          <w:szCs w:val="24"/>
        </w:rPr>
        <w:t>The Journal of Academic Librarianship</w:t>
      </w:r>
      <w:r w:rsidRPr="005F214C">
        <w:rPr>
          <w:rFonts w:ascii="Times New Roman" w:hAnsi="Times New Roman" w:cs="Times New Roman"/>
          <w:sz w:val="24"/>
          <w:szCs w:val="24"/>
        </w:rPr>
        <w:t xml:space="preserve">, 50(5), 102933. </w:t>
      </w:r>
      <w:hyperlink w:history="1">
        <w:r w:rsidRPr="005F214C">
          <w:rPr>
            <w:rStyle w:val="Hyperlink"/>
            <w:rFonts w:ascii="Times New Roman" w:hAnsi="Times New Roman" w:cs="Times New Roman"/>
            <w:sz w:val="24"/>
            <w:szCs w:val="24"/>
          </w:rPr>
          <w:t>https://doi.org/10.1016/j.acalib.2024.102933</w:t>
        </w:r>
      </w:hyperlink>
    </w:p>
    <w:p w14:paraId="2953C598" w14:textId="77777777" w:rsidR="005C10E1" w:rsidRPr="005F214C" w:rsidRDefault="005C10E1" w:rsidP="005F214C">
      <w:pPr>
        <w:spacing w:before="120" w:after="120"/>
        <w:ind w:left="709" w:hanging="709"/>
        <w:jc w:val="both"/>
        <w:rPr>
          <w:rFonts w:ascii="Times New Roman" w:hAnsi="Times New Roman" w:cs="Times New Roman"/>
          <w:color w:val="222222"/>
          <w:sz w:val="24"/>
          <w:szCs w:val="24"/>
          <w:shd w:val="clear" w:color="auto" w:fill="FFFFFF"/>
        </w:rPr>
      </w:pPr>
      <w:r w:rsidRPr="005F214C">
        <w:rPr>
          <w:rFonts w:ascii="Times New Roman" w:hAnsi="Times New Roman" w:cs="Times New Roman"/>
          <w:sz w:val="24"/>
          <w:szCs w:val="24"/>
        </w:rPr>
        <w:t xml:space="preserve">De Robbio, A. (2024). E-LIS </w:t>
      </w:r>
      <w:proofErr w:type="spellStart"/>
      <w:r w:rsidRPr="005F214C">
        <w:rPr>
          <w:rFonts w:ascii="Times New Roman" w:hAnsi="Times New Roman" w:cs="Times New Roman"/>
          <w:sz w:val="24"/>
          <w:szCs w:val="24"/>
        </w:rPr>
        <w:t>ePrints</w:t>
      </w:r>
      <w:proofErr w:type="spellEnd"/>
      <w:r w:rsidRPr="005F214C">
        <w:rPr>
          <w:rFonts w:ascii="Times New Roman" w:hAnsi="Times New Roman" w:cs="Times New Roman"/>
          <w:sz w:val="24"/>
          <w:szCs w:val="24"/>
        </w:rPr>
        <w:t xml:space="preserve"> in Library and Information Science. </w:t>
      </w:r>
      <w:proofErr w:type="spellStart"/>
      <w:r w:rsidRPr="005F214C">
        <w:rPr>
          <w:rFonts w:ascii="Times New Roman" w:hAnsi="Times New Roman" w:cs="Times New Roman"/>
          <w:i/>
          <w:iCs/>
          <w:sz w:val="24"/>
          <w:szCs w:val="24"/>
        </w:rPr>
        <w:t>Encyclopedia</w:t>
      </w:r>
      <w:proofErr w:type="spellEnd"/>
      <w:r w:rsidRPr="005F214C">
        <w:rPr>
          <w:rFonts w:ascii="Times New Roman" w:hAnsi="Times New Roman" w:cs="Times New Roman"/>
          <w:i/>
          <w:iCs/>
          <w:sz w:val="24"/>
          <w:szCs w:val="24"/>
        </w:rPr>
        <w:t xml:space="preserve"> of Libraries, Librarianship, and Information Science</w:t>
      </w:r>
      <w:r w:rsidRPr="005F214C">
        <w:rPr>
          <w:rFonts w:ascii="Times New Roman" w:hAnsi="Times New Roman" w:cs="Times New Roman"/>
          <w:sz w:val="24"/>
          <w:szCs w:val="24"/>
        </w:rPr>
        <w:t xml:space="preserve">, 299–306. </w:t>
      </w:r>
      <w:hyperlink w:history="1">
        <w:r w:rsidRPr="005F214C">
          <w:rPr>
            <w:rStyle w:val="Hyperlink"/>
            <w:rFonts w:ascii="Times New Roman" w:hAnsi="Times New Roman" w:cs="Times New Roman"/>
            <w:sz w:val="24"/>
            <w:szCs w:val="24"/>
          </w:rPr>
          <w:t>https://doi.org/10.1016/B978-0-323-95689-5.00016-X</w:t>
        </w:r>
      </w:hyperlink>
    </w:p>
    <w:p w14:paraId="0DD01EBB" w14:textId="77777777" w:rsidR="00D25DBD" w:rsidRPr="005F214C" w:rsidRDefault="00D25DBD" w:rsidP="005F214C">
      <w:pPr>
        <w:spacing w:before="120" w:after="120"/>
        <w:ind w:left="709" w:hanging="709"/>
        <w:jc w:val="both"/>
        <w:rPr>
          <w:rFonts w:ascii="Times New Roman" w:hAnsi="Times New Roman" w:cs="Times New Roman"/>
          <w:sz w:val="24"/>
          <w:szCs w:val="24"/>
        </w:rPr>
      </w:pPr>
      <w:r w:rsidRPr="005F214C">
        <w:rPr>
          <w:rFonts w:ascii="Times New Roman" w:hAnsi="Times New Roman" w:cs="Times New Roman"/>
          <w:sz w:val="24"/>
          <w:szCs w:val="24"/>
        </w:rPr>
        <w:t xml:space="preserve">Cochran, W. G. (1977). </w:t>
      </w:r>
      <w:r w:rsidRPr="005F214C">
        <w:rPr>
          <w:rFonts w:ascii="Times New Roman" w:hAnsi="Times New Roman" w:cs="Times New Roman"/>
          <w:i/>
          <w:iCs/>
          <w:sz w:val="24"/>
          <w:szCs w:val="24"/>
        </w:rPr>
        <w:t>Sampling Techniques (3rd ed.).</w:t>
      </w:r>
      <w:r w:rsidRPr="005F214C">
        <w:rPr>
          <w:rFonts w:ascii="Times New Roman" w:hAnsi="Times New Roman" w:cs="Times New Roman"/>
          <w:sz w:val="24"/>
          <w:szCs w:val="24"/>
        </w:rPr>
        <w:t xml:space="preserve"> New York: John Wiley &amp; Sons.</w:t>
      </w:r>
    </w:p>
    <w:p w14:paraId="04379C7E" w14:textId="77777777" w:rsidR="006B62B1" w:rsidRPr="005F214C" w:rsidRDefault="006B62B1" w:rsidP="005F214C">
      <w:pPr>
        <w:spacing w:before="120" w:after="120"/>
        <w:ind w:left="709" w:hanging="709"/>
        <w:jc w:val="both"/>
        <w:rPr>
          <w:rFonts w:ascii="Times New Roman" w:hAnsi="Times New Roman" w:cs="Times New Roman"/>
          <w:sz w:val="24"/>
          <w:szCs w:val="24"/>
        </w:rPr>
      </w:pPr>
      <w:r w:rsidRPr="005F214C">
        <w:rPr>
          <w:rFonts w:ascii="Times New Roman" w:hAnsi="Times New Roman" w:cs="Times New Roman"/>
          <w:sz w:val="24"/>
          <w:szCs w:val="24"/>
        </w:rPr>
        <w:t xml:space="preserve">Creswell, J. W. (2014). </w:t>
      </w:r>
      <w:r w:rsidRPr="005F214C">
        <w:rPr>
          <w:rFonts w:ascii="Times New Roman" w:hAnsi="Times New Roman" w:cs="Times New Roman"/>
          <w:i/>
          <w:iCs/>
          <w:sz w:val="24"/>
          <w:szCs w:val="24"/>
        </w:rPr>
        <w:t xml:space="preserve">Research design: Qualitative, quantitative, and mixed methods </w:t>
      </w:r>
      <w:proofErr w:type="gramStart"/>
      <w:r w:rsidRPr="005F214C">
        <w:rPr>
          <w:rFonts w:ascii="Times New Roman" w:hAnsi="Times New Roman" w:cs="Times New Roman"/>
          <w:i/>
          <w:iCs/>
          <w:sz w:val="24"/>
          <w:szCs w:val="24"/>
        </w:rPr>
        <w:t>approaches</w:t>
      </w:r>
      <w:proofErr w:type="gramEnd"/>
      <w:r w:rsidRPr="005F214C">
        <w:rPr>
          <w:rFonts w:ascii="Times New Roman" w:hAnsi="Times New Roman" w:cs="Times New Roman"/>
          <w:i/>
          <w:iCs/>
          <w:sz w:val="24"/>
          <w:szCs w:val="24"/>
        </w:rPr>
        <w:t xml:space="preserve"> (4th ed.).</w:t>
      </w:r>
      <w:r w:rsidRPr="005F214C">
        <w:rPr>
          <w:rFonts w:ascii="Times New Roman" w:hAnsi="Times New Roman" w:cs="Times New Roman"/>
          <w:sz w:val="24"/>
          <w:szCs w:val="24"/>
        </w:rPr>
        <w:t xml:space="preserve"> SAGE Publications.</w:t>
      </w:r>
    </w:p>
    <w:p w14:paraId="647B35DC" w14:textId="77777777" w:rsidR="005C10E1" w:rsidRPr="005F214C" w:rsidRDefault="005C10E1" w:rsidP="005F214C">
      <w:pPr>
        <w:spacing w:before="120" w:after="120"/>
        <w:ind w:left="709" w:hanging="709"/>
        <w:jc w:val="both"/>
        <w:rPr>
          <w:rFonts w:ascii="Times New Roman" w:hAnsi="Times New Roman" w:cs="Times New Roman"/>
          <w:color w:val="222222"/>
          <w:sz w:val="24"/>
          <w:szCs w:val="24"/>
          <w:shd w:val="clear" w:color="auto" w:fill="FFFFFF"/>
        </w:rPr>
      </w:pPr>
      <w:r w:rsidRPr="005F214C">
        <w:rPr>
          <w:rFonts w:ascii="Times New Roman" w:hAnsi="Times New Roman" w:cs="Times New Roman"/>
          <w:sz w:val="24"/>
          <w:szCs w:val="24"/>
        </w:rPr>
        <w:t>Edam-Agbor, I. B., et al. (2024). Librarians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 awareness, acceptability, and application of artificial intelligence in academic research libraries: Multigroup analysis via PLS</w:t>
      </w:r>
      <w:r w:rsidR="0090187C" w:rsidRPr="005F214C">
        <w:rPr>
          <w:rFonts w:ascii="Times New Roman" w:hAnsi="Times New Roman" w:cs="Times New Roman"/>
          <w:sz w:val="24"/>
          <w:szCs w:val="24"/>
        </w:rPr>
        <w:t>-</w:t>
      </w:r>
      <w:r w:rsidRPr="005F214C">
        <w:rPr>
          <w:rFonts w:ascii="Times New Roman" w:hAnsi="Times New Roman" w:cs="Times New Roman"/>
          <w:sz w:val="24"/>
          <w:szCs w:val="24"/>
        </w:rPr>
        <w:t xml:space="preserve">SEM. </w:t>
      </w:r>
      <w:r w:rsidRPr="005F214C">
        <w:rPr>
          <w:rFonts w:ascii="Times New Roman" w:hAnsi="Times New Roman" w:cs="Times New Roman"/>
          <w:i/>
          <w:iCs/>
          <w:sz w:val="24"/>
          <w:szCs w:val="24"/>
        </w:rPr>
        <w:t>Social Sciences &amp; Humanities Open,</w:t>
      </w:r>
      <w:r w:rsidRPr="005F214C">
        <w:rPr>
          <w:rFonts w:ascii="Times New Roman" w:hAnsi="Times New Roman" w:cs="Times New Roman"/>
          <w:sz w:val="24"/>
          <w:szCs w:val="24"/>
        </w:rPr>
        <w:t xml:space="preserve"> 11, 101333. </w:t>
      </w:r>
      <w:hyperlink w:history="1">
        <w:r w:rsidRPr="005F214C">
          <w:rPr>
            <w:rStyle w:val="Hyperlink"/>
            <w:rFonts w:ascii="Times New Roman" w:hAnsi="Times New Roman" w:cs="Times New Roman"/>
            <w:sz w:val="24"/>
            <w:szCs w:val="24"/>
          </w:rPr>
          <w:t>https://doi.org/10.1016/j.ssaho.2025.101333</w:t>
        </w:r>
      </w:hyperlink>
    </w:p>
    <w:p w14:paraId="65CE1994" w14:textId="77777777" w:rsidR="005C10E1" w:rsidRPr="005F214C" w:rsidRDefault="005C10E1" w:rsidP="005F214C">
      <w:pPr>
        <w:spacing w:before="120" w:after="120"/>
        <w:ind w:left="709" w:hanging="709"/>
        <w:jc w:val="both"/>
        <w:rPr>
          <w:rFonts w:ascii="Times New Roman" w:hAnsi="Times New Roman" w:cs="Times New Roman"/>
          <w:color w:val="222222"/>
          <w:sz w:val="24"/>
          <w:szCs w:val="24"/>
          <w:shd w:val="clear" w:color="auto" w:fill="FFFFFF"/>
        </w:rPr>
      </w:pPr>
      <w:r w:rsidRPr="005F214C">
        <w:rPr>
          <w:rFonts w:ascii="Times New Roman" w:hAnsi="Times New Roman" w:cs="Times New Roman"/>
          <w:sz w:val="24"/>
          <w:szCs w:val="24"/>
        </w:rPr>
        <w:t xml:space="preserve">Ezeani, C., &amp; Izuchukwu, A. (2024). Library Profession in the New Information Society. </w:t>
      </w:r>
      <w:proofErr w:type="spellStart"/>
      <w:r w:rsidRPr="005F214C">
        <w:rPr>
          <w:rFonts w:ascii="Times New Roman" w:hAnsi="Times New Roman" w:cs="Times New Roman"/>
          <w:i/>
          <w:iCs/>
          <w:sz w:val="24"/>
          <w:szCs w:val="24"/>
        </w:rPr>
        <w:t>Encyclopedia</w:t>
      </w:r>
      <w:proofErr w:type="spellEnd"/>
      <w:r w:rsidRPr="005F214C">
        <w:rPr>
          <w:rFonts w:ascii="Times New Roman" w:hAnsi="Times New Roman" w:cs="Times New Roman"/>
          <w:i/>
          <w:iCs/>
          <w:sz w:val="24"/>
          <w:szCs w:val="24"/>
        </w:rPr>
        <w:t xml:space="preserve"> of Libraries, Librarianship, and Information Science</w:t>
      </w:r>
      <w:r w:rsidRPr="005F214C">
        <w:rPr>
          <w:rFonts w:ascii="Times New Roman" w:hAnsi="Times New Roman" w:cs="Times New Roman"/>
          <w:sz w:val="24"/>
          <w:szCs w:val="24"/>
        </w:rPr>
        <w:t xml:space="preserve">, 366–375. </w:t>
      </w:r>
      <w:hyperlink w:history="1">
        <w:r w:rsidRPr="005F214C">
          <w:rPr>
            <w:rStyle w:val="Hyperlink"/>
            <w:rFonts w:ascii="Times New Roman" w:hAnsi="Times New Roman" w:cs="Times New Roman"/>
            <w:sz w:val="24"/>
            <w:szCs w:val="24"/>
          </w:rPr>
          <w:t>https://doi.org/10.1016/B978-0-323-95689-5.00067-5</w:t>
        </w:r>
      </w:hyperlink>
    </w:p>
    <w:p w14:paraId="2EB828BF" w14:textId="77777777" w:rsidR="005C10E1" w:rsidRPr="005F214C" w:rsidRDefault="005C10E1" w:rsidP="005F214C">
      <w:pPr>
        <w:spacing w:before="120" w:after="120"/>
        <w:ind w:left="709" w:hanging="709"/>
        <w:jc w:val="both"/>
        <w:rPr>
          <w:rFonts w:ascii="Times New Roman" w:hAnsi="Times New Roman" w:cs="Times New Roman"/>
          <w:color w:val="222222"/>
          <w:sz w:val="24"/>
          <w:szCs w:val="24"/>
          <w:shd w:val="clear" w:color="auto" w:fill="FFFFFF"/>
        </w:rPr>
      </w:pPr>
      <w:proofErr w:type="spellStart"/>
      <w:r w:rsidRPr="005F214C">
        <w:rPr>
          <w:rFonts w:ascii="Times New Roman" w:hAnsi="Times New Roman" w:cs="Times New Roman"/>
          <w:sz w:val="24"/>
          <w:szCs w:val="24"/>
        </w:rPr>
        <w:t>Gorichanaz</w:t>
      </w:r>
      <w:proofErr w:type="spellEnd"/>
      <w:r w:rsidRPr="005F214C">
        <w:rPr>
          <w:rFonts w:ascii="Times New Roman" w:hAnsi="Times New Roman" w:cs="Times New Roman"/>
          <w:sz w:val="24"/>
          <w:szCs w:val="24"/>
        </w:rPr>
        <w:t xml:space="preserve">, T. (2024). Innovative Pedagogical Approaches in Library and Information Science. </w:t>
      </w:r>
      <w:proofErr w:type="spellStart"/>
      <w:r w:rsidRPr="005F214C">
        <w:rPr>
          <w:rFonts w:ascii="Times New Roman" w:hAnsi="Times New Roman" w:cs="Times New Roman"/>
          <w:i/>
          <w:iCs/>
          <w:sz w:val="24"/>
          <w:szCs w:val="24"/>
        </w:rPr>
        <w:t>Encyclopedia</w:t>
      </w:r>
      <w:proofErr w:type="spellEnd"/>
      <w:r w:rsidRPr="005F214C">
        <w:rPr>
          <w:rFonts w:ascii="Times New Roman" w:hAnsi="Times New Roman" w:cs="Times New Roman"/>
          <w:i/>
          <w:iCs/>
          <w:sz w:val="24"/>
          <w:szCs w:val="24"/>
        </w:rPr>
        <w:t xml:space="preserve"> of Libraries, Librarianship, and Information Science,</w:t>
      </w:r>
      <w:r w:rsidRPr="005F214C">
        <w:rPr>
          <w:rFonts w:ascii="Times New Roman" w:hAnsi="Times New Roman" w:cs="Times New Roman"/>
          <w:sz w:val="24"/>
          <w:szCs w:val="24"/>
        </w:rPr>
        <w:t xml:space="preserve"> 579–583. </w:t>
      </w:r>
      <w:hyperlink w:history="1">
        <w:r w:rsidRPr="005F214C">
          <w:rPr>
            <w:rStyle w:val="Hyperlink"/>
            <w:rFonts w:ascii="Times New Roman" w:hAnsi="Times New Roman" w:cs="Times New Roman"/>
            <w:sz w:val="24"/>
            <w:szCs w:val="24"/>
          </w:rPr>
          <w:t>https://doi.org/10.1016/B978-0-323-95689-5.00089-4</w:t>
        </w:r>
      </w:hyperlink>
    </w:p>
    <w:p w14:paraId="69FFE307" w14:textId="77777777" w:rsidR="005C10E1" w:rsidRPr="005F214C" w:rsidRDefault="005C10E1" w:rsidP="005F214C">
      <w:pPr>
        <w:spacing w:before="120" w:after="120"/>
        <w:ind w:left="709" w:hanging="709"/>
        <w:jc w:val="both"/>
        <w:rPr>
          <w:rFonts w:ascii="Times New Roman" w:hAnsi="Times New Roman" w:cs="Times New Roman"/>
          <w:color w:val="222222"/>
          <w:sz w:val="24"/>
          <w:szCs w:val="24"/>
          <w:shd w:val="clear" w:color="auto" w:fill="FFFFFF"/>
        </w:rPr>
      </w:pPr>
      <w:r w:rsidRPr="005F214C">
        <w:rPr>
          <w:rFonts w:ascii="Times New Roman" w:hAnsi="Times New Roman" w:cs="Times New Roman"/>
          <w:sz w:val="24"/>
          <w:szCs w:val="24"/>
        </w:rPr>
        <w:t xml:space="preserve">Pan, X., Yan, E., Cui, M., &amp; Hua, W. (2019). How important is software to library and information science research? A content analysis of full-text publications. Journal of </w:t>
      </w:r>
      <w:proofErr w:type="spellStart"/>
      <w:r w:rsidRPr="005F214C">
        <w:rPr>
          <w:rFonts w:ascii="Times New Roman" w:hAnsi="Times New Roman" w:cs="Times New Roman"/>
          <w:sz w:val="24"/>
          <w:szCs w:val="24"/>
        </w:rPr>
        <w:t>Informetrics</w:t>
      </w:r>
      <w:proofErr w:type="spellEnd"/>
      <w:r w:rsidRPr="005F214C">
        <w:rPr>
          <w:rFonts w:ascii="Times New Roman" w:hAnsi="Times New Roman" w:cs="Times New Roman"/>
          <w:sz w:val="24"/>
          <w:szCs w:val="24"/>
        </w:rPr>
        <w:t xml:space="preserve">, 13(1), 397–406. </w:t>
      </w:r>
      <w:hyperlink w:history="1">
        <w:r w:rsidRPr="005F214C">
          <w:rPr>
            <w:rStyle w:val="Hyperlink"/>
            <w:rFonts w:ascii="Times New Roman" w:hAnsi="Times New Roman" w:cs="Times New Roman"/>
            <w:sz w:val="24"/>
            <w:szCs w:val="24"/>
          </w:rPr>
          <w:t>https://doi.org/10.1016/j.joi.2019.02.002</w:t>
        </w:r>
      </w:hyperlink>
    </w:p>
    <w:p w14:paraId="18B573DD" w14:textId="77777777" w:rsidR="005C10E1" w:rsidRPr="005F214C" w:rsidRDefault="005C10E1" w:rsidP="005F214C">
      <w:pPr>
        <w:spacing w:before="120" w:after="120"/>
        <w:ind w:left="709" w:hanging="709"/>
        <w:jc w:val="both"/>
        <w:rPr>
          <w:rFonts w:ascii="Times New Roman" w:hAnsi="Times New Roman" w:cs="Times New Roman"/>
          <w:color w:val="222222"/>
          <w:sz w:val="24"/>
          <w:szCs w:val="24"/>
          <w:shd w:val="clear" w:color="auto" w:fill="FFFFFF"/>
        </w:rPr>
      </w:pPr>
      <w:r w:rsidRPr="005F214C">
        <w:rPr>
          <w:rFonts w:ascii="Times New Roman" w:hAnsi="Times New Roman" w:cs="Times New Roman"/>
          <w:sz w:val="24"/>
          <w:szCs w:val="24"/>
        </w:rPr>
        <w:t xml:space="preserve">Pinto, M., Garcia-Marco, J., Caballero, D., Manso, R., Uribe, A., &amp; Gomez, C. (2024). Assessing information, media and data literacy in academic libraries: Approaches and challenges in the research literature on the topic. </w:t>
      </w:r>
      <w:r w:rsidRPr="005F214C">
        <w:rPr>
          <w:rFonts w:ascii="Times New Roman" w:hAnsi="Times New Roman" w:cs="Times New Roman"/>
          <w:i/>
          <w:iCs/>
          <w:sz w:val="24"/>
          <w:szCs w:val="24"/>
        </w:rPr>
        <w:t>The Journal of Academic Librarianship,</w:t>
      </w:r>
      <w:r w:rsidRPr="005F214C">
        <w:rPr>
          <w:rFonts w:ascii="Times New Roman" w:hAnsi="Times New Roman" w:cs="Times New Roman"/>
          <w:sz w:val="24"/>
          <w:szCs w:val="24"/>
        </w:rPr>
        <w:t xml:space="preserve"> 50(5), 102920. </w:t>
      </w:r>
      <w:hyperlink w:history="1">
        <w:r w:rsidRPr="005F214C">
          <w:rPr>
            <w:rStyle w:val="Hyperlink"/>
            <w:rFonts w:ascii="Times New Roman" w:hAnsi="Times New Roman" w:cs="Times New Roman"/>
            <w:sz w:val="24"/>
            <w:szCs w:val="24"/>
          </w:rPr>
          <w:t>https://doi.org/10.1016/j.acalib.2024.102920</w:t>
        </w:r>
      </w:hyperlink>
    </w:p>
    <w:p w14:paraId="042AA37B" w14:textId="77777777" w:rsidR="005C10E1" w:rsidRPr="005F214C" w:rsidRDefault="005C10E1" w:rsidP="005F214C">
      <w:pPr>
        <w:spacing w:before="120" w:after="120"/>
        <w:ind w:left="709" w:hanging="709"/>
        <w:jc w:val="both"/>
        <w:rPr>
          <w:rFonts w:ascii="Times New Roman" w:hAnsi="Times New Roman" w:cs="Times New Roman"/>
          <w:color w:val="222222"/>
          <w:sz w:val="24"/>
          <w:szCs w:val="24"/>
          <w:shd w:val="clear" w:color="auto" w:fill="FFFFFF"/>
        </w:rPr>
      </w:pPr>
      <w:r w:rsidRPr="005F214C">
        <w:rPr>
          <w:rFonts w:ascii="Times New Roman" w:hAnsi="Times New Roman" w:cs="Times New Roman"/>
          <w:sz w:val="24"/>
          <w:szCs w:val="24"/>
        </w:rPr>
        <w:t xml:space="preserve">Rogers, E. M. (2003). </w:t>
      </w:r>
      <w:r w:rsidRPr="005F214C">
        <w:rPr>
          <w:rFonts w:ascii="Times New Roman" w:hAnsi="Times New Roman" w:cs="Times New Roman"/>
          <w:i/>
          <w:iCs/>
          <w:sz w:val="24"/>
          <w:szCs w:val="24"/>
        </w:rPr>
        <w:t>Diffusion of Innovations</w:t>
      </w:r>
      <w:r w:rsidRPr="005F214C">
        <w:rPr>
          <w:rFonts w:ascii="Times New Roman" w:hAnsi="Times New Roman" w:cs="Times New Roman"/>
          <w:sz w:val="24"/>
          <w:szCs w:val="24"/>
        </w:rPr>
        <w:t xml:space="preserve"> (5th ed.). Free Press.</w:t>
      </w:r>
    </w:p>
    <w:p w14:paraId="72CE5004" w14:textId="77777777" w:rsidR="005C10E1" w:rsidRPr="005F214C" w:rsidRDefault="005C10E1" w:rsidP="005F214C">
      <w:pPr>
        <w:spacing w:before="120" w:after="120"/>
        <w:ind w:left="709" w:hanging="709"/>
        <w:jc w:val="both"/>
        <w:rPr>
          <w:rFonts w:ascii="Times New Roman" w:hAnsi="Times New Roman" w:cs="Times New Roman"/>
          <w:color w:val="222222"/>
          <w:sz w:val="24"/>
          <w:szCs w:val="24"/>
          <w:shd w:val="clear" w:color="auto" w:fill="FFFFFF"/>
        </w:rPr>
      </w:pPr>
      <w:r w:rsidRPr="005F214C">
        <w:rPr>
          <w:rFonts w:ascii="Times New Roman" w:hAnsi="Times New Roman" w:cs="Times New Roman"/>
          <w:sz w:val="24"/>
          <w:szCs w:val="24"/>
        </w:rPr>
        <w:lastRenderedPageBreak/>
        <w:t xml:space="preserve">Smith, D. L. (2024). Social Media and LIS: Current Trends in Research. </w:t>
      </w:r>
      <w:proofErr w:type="spellStart"/>
      <w:r w:rsidRPr="005F214C">
        <w:rPr>
          <w:rFonts w:ascii="Times New Roman" w:hAnsi="Times New Roman" w:cs="Times New Roman"/>
          <w:sz w:val="24"/>
          <w:szCs w:val="24"/>
        </w:rPr>
        <w:t>Encyclopedia</w:t>
      </w:r>
      <w:proofErr w:type="spellEnd"/>
      <w:r w:rsidRPr="005F214C">
        <w:rPr>
          <w:rFonts w:ascii="Times New Roman" w:hAnsi="Times New Roman" w:cs="Times New Roman"/>
          <w:sz w:val="24"/>
          <w:szCs w:val="24"/>
        </w:rPr>
        <w:t xml:space="preserve"> of Libraries, </w:t>
      </w:r>
      <w:r w:rsidRPr="005F214C">
        <w:rPr>
          <w:rFonts w:ascii="Times New Roman" w:hAnsi="Times New Roman" w:cs="Times New Roman"/>
          <w:i/>
          <w:iCs/>
          <w:sz w:val="24"/>
          <w:szCs w:val="24"/>
        </w:rPr>
        <w:t>Librarianship, and Information Science,</w:t>
      </w:r>
      <w:r w:rsidRPr="005F214C">
        <w:rPr>
          <w:rFonts w:ascii="Times New Roman" w:hAnsi="Times New Roman" w:cs="Times New Roman"/>
          <w:sz w:val="24"/>
          <w:szCs w:val="24"/>
        </w:rPr>
        <w:t xml:space="preserve"> 647–655. </w:t>
      </w:r>
      <w:hyperlink w:history="1">
        <w:r w:rsidRPr="005F214C">
          <w:rPr>
            <w:rStyle w:val="Hyperlink"/>
            <w:rFonts w:ascii="Times New Roman" w:hAnsi="Times New Roman" w:cs="Times New Roman"/>
            <w:sz w:val="24"/>
            <w:szCs w:val="24"/>
          </w:rPr>
          <w:t>https://doi.org/10.1016/B978-0-323-95689-5.00173-5</w:t>
        </w:r>
      </w:hyperlink>
    </w:p>
    <w:p w14:paraId="6FE09B57" w14:textId="77777777" w:rsidR="005C10E1" w:rsidRPr="005F214C" w:rsidRDefault="005C10E1" w:rsidP="005F214C">
      <w:pPr>
        <w:spacing w:before="120" w:after="120"/>
        <w:ind w:left="709" w:hanging="709"/>
        <w:jc w:val="both"/>
        <w:rPr>
          <w:rFonts w:ascii="Times New Roman" w:hAnsi="Times New Roman" w:cs="Times New Roman"/>
          <w:sz w:val="24"/>
          <w:szCs w:val="24"/>
        </w:rPr>
      </w:pPr>
      <w:r w:rsidRPr="005F214C">
        <w:rPr>
          <w:rFonts w:ascii="Times New Roman" w:hAnsi="Times New Roman" w:cs="Times New Roman"/>
          <w:sz w:val="24"/>
          <w:szCs w:val="24"/>
        </w:rPr>
        <w:t>Wagner, T. L., Montague, K., Kitzie, V. L., Radford, M., &amp; Bishop, B. W. (2024). Learning from digital disorientations: Navigating virtual and physical spaces in library and information science research during lockdowns and beyond</w:t>
      </w:r>
      <w:r w:rsidRPr="005F214C">
        <w:rPr>
          <w:rFonts w:ascii="Times New Roman" w:hAnsi="Times New Roman" w:cs="Times New Roman"/>
          <w:i/>
          <w:iCs/>
          <w:sz w:val="24"/>
          <w:szCs w:val="24"/>
        </w:rPr>
        <w:t>. Library &amp; Information Science Research</w:t>
      </w:r>
      <w:r w:rsidRPr="005F214C">
        <w:rPr>
          <w:rFonts w:ascii="Times New Roman" w:hAnsi="Times New Roman" w:cs="Times New Roman"/>
          <w:sz w:val="24"/>
          <w:szCs w:val="24"/>
        </w:rPr>
        <w:t xml:space="preserve">, 47(1), 101340. </w:t>
      </w:r>
      <w:hyperlink w:history="1">
        <w:r w:rsidRPr="005F214C">
          <w:rPr>
            <w:rStyle w:val="Hyperlink"/>
            <w:rFonts w:ascii="Times New Roman" w:hAnsi="Times New Roman" w:cs="Times New Roman"/>
            <w:sz w:val="24"/>
            <w:szCs w:val="24"/>
          </w:rPr>
          <w:t>https://doi.org/10.1016/j.lisr.2025.101340</w:t>
        </w:r>
      </w:hyperlink>
    </w:p>
    <w:p w14:paraId="16B45C68" w14:textId="77777777" w:rsidR="005C10E1" w:rsidRPr="005F214C" w:rsidRDefault="005C10E1" w:rsidP="005F214C">
      <w:pPr>
        <w:spacing w:before="120" w:after="120"/>
        <w:ind w:left="709" w:hanging="709"/>
        <w:jc w:val="both"/>
        <w:rPr>
          <w:rFonts w:ascii="Times New Roman" w:hAnsi="Times New Roman" w:cs="Times New Roman"/>
          <w:color w:val="222222"/>
          <w:sz w:val="24"/>
          <w:szCs w:val="24"/>
          <w:shd w:val="clear" w:color="auto" w:fill="FFFFFF"/>
        </w:rPr>
      </w:pPr>
    </w:p>
    <w:p w14:paraId="2049C8BE" w14:textId="77777777" w:rsidR="00F55E19" w:rsidRPr="005F214C" w:rsidRDefault="00F55E19" w:rsidP="005F214C">
      <w:pPr>
        <w:tabs>
          <w:tab w:val="left" w:pos="1380"/>
        </w:tabs>
        <w:spacing w:before="120" w:after="120"/>
        <w:jc w:val="both"/>
        <w:rPr>
          <w:rFonts w:ascii="Times New Roman" w:hAnsi="Times New Roman" w:cs="Times New Roman"/>
          <w:sz w:val="24"/>
          <w:szCs w:val="24"/>
        </w:rPr>
      </w:pPr>
    </w:p>
    <w:sectPr w:rsidR="00F55E19" w:rsidRPr="005F214C" w:rsidSect="00BB2E02">
      <w:headerReference w:type="even" r:id="rId9"/>
      <w:headerReference w:type="default" r:id="rId10"/>
      <w:footerReference w:type="even" r:id="rId11"/>
      <w:footerReference w:type="default" r:id="rId12"/>
      <w:headerReference w:type="first" r:id="rId13"/>
      <w:footerReference w:type="first" r:id="rId14"/>
      <w:pgSz w:w="11906" w:h="16838"/>
      <w:pgMar w:top="540" w:right="1106" w:bottom="1418" w:left="1080" w:header="706" w:footer="706"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335F3" w14:textId="77777777" w:rsidR="005B433F" w:rsidRDefault="005B433F" w:rsidP="005C10E1">
      <w:pPr>
        <w:spacing w:after="0" w:line="240" w:lineRule="auto"/>
      </w:pPr>
      <w:r>
        <w:separator/>
      </w:r>
    </w:p>
  </w:endnote>
  <w:endnote w:type="continuationSeparator" w:id="0">
    <w:p w14:paraId="1A9A71DE" w14:textId="77777777" w:rsidR="005B433F" w:rsidRDefault="005B433F" w:rsidP="005C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1B74" w14:textId="77777777" w:rsidR="00D76A1E" w:rsidRDefault="00D76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024106"/>
      <w:docPartObj>
        <w:docPartGallery w:val="Page Numbers (Bottom of Page)"/>
        <w:docPartUnique/>
      </w:docPartObj>
    </w:sdtPr>
    <w:sdtEndPr>
      <w:rPr>
        <w:noProof/>
      </w:rPr>
    </w:sdtEndPr>
    <w:sdtContent>
      <w:p w14:paraId="2C2D6262" w14:textId="77777777" w:rsidR="005C10E1" w:rsidRDefault="00210A7A">
        <w:pPr>
          <w:pStyle w:val="Footer"/>
          <w:jc w:val="center"/>
        </w:pPr>
        <w:r>
          <w:fldChar w:fldCharType="begin"/>
        </w:r>
        <w:r w:rsidR="005C10E1">
          <w:instrText xml:space="preserve"> PAGE   \* MERGEFORMAT </w:instrText>
        </w:r>
        <w:r>
          <w:fldChar w:fldCharType="separate"/>
        </w:r>
        <w:r w:rsidR="00B80867">
          <w:rPr>
            <w:noProof/>
          </w:rPr>
          <w:t>8</w:t>
        </w:r>
        <w:r>
          <w:rPr>
            <w:noProof/>
          </w:rPr>
          <w:fldChar w:fldCharType="end"/>
        </w:r>
      </w:p>
    </w:sdtContent>
  </w:sdt>
  <w:p w14:paraId="64240312" w14:textId="77777777" w:rsidR="005C10E1" w:rsidRDefault="005C1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1EA4" w14:textId="77777777" w:rsidR="00D76A1E" w:rsidRDefault="00D76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4C291" w14:textId="77777777" w:rsidR="005B433F" w:rsidRDefault="005B433F" w:rsidP="005C10E1">
      <w:pPr>
        <w:spacing w:after="0" w:line="240" w:lineRule="auto"/>
      </w:pPr>
      <w:r>
        <w:separator/>
      </w:r>
    </w:p>
  </w:footnote>
  <w:footnote w:type="continuationSeparator" w:id="0">
    <w:p w14:paraId="6FE2F5FA" w14:textId="77777777" w:rsidR="005B433F" w:rsidRDefault="005B433F" w:rsidP="005C1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DB79" w14:textId="77777777" w:rsidR="00D76A1E" w:rsidRDefault="00D76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682B" w14:textId="0F57AD7F" w:rsidR="00D76A1E" w:rsidRDefault="00D76A1E">
    <w:pPr>
      <w:pStyle w:val="Header"/>
    </w:pPr>
    <w:proofErr w:type="spellStart"/>
    <w:r w:rsidRPr="00D76A1E">
      <w:rPr>
        <w:color w:val="00B050"/>
      </w:rPr>
      <w:t>Nigerbiblios</w:t>
    </w:r>
    <w:proofErr w:type="spellEnd"/>
    <w:r>
      <w:t xml:space="preserve">: Journal of National Library of Nigeria </w:t>
    </w:r>
    <w:r w:rsidRPr="00D76A1E">
      <w:rPr>
        <w:color w:val="FF0000"/>
      </w:rPr>
      <w:t>Vol. 34 No. 2 July-December 2024</w:t>
    </w:r>
  </w:p>
  <w:p w14:paraId="5B7A088E" w14:textId="77777777" w:rsidR="00D76A1E" w:rsidRDefault="00D76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4D2A" w14:textId="77777777" w:rsidR="00D76A1E" w:rsidRDefault="00D76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0EF6"/>
    <w:multiLevelType w:val="hybridMultilevel"/>
    <w:tmpl w:val="5068FD82"/>
    <w:lvl w:ilvl="0" w:tplc="FEEC29B4">
      <w:start w:val="1"/>
      <w:numFmt w:val="bullet"/>
      <w:lvlText w:val=""/>
      <w:lvlJc w:val="left"/>
      <w:pPr>
        <w:tabs>
          <w:tab w:val="num" w:pos="720"/>
        </w:tabs>
        <w:ind w:left="720" w:hanging="360"/>
      </w:pPr>
      <w:rPr>
        <w:rFonts w:ascii="Wingdings" w:hAnsi="Wingdings" w:hint="default"/>
      </w:rPr>
    </w:lvl>
    <w:lvl w:ilvl="1" w:tplc="333C0D18" w:tentative="1">
      <w:start w:val="1"/>
      <w:numFmt w:val="bullet"/>
      <w:lvlText w:val=""/>
      <w:lvlJc w:val="left"/>
      <w:pPr>
        <w:tabs>
          <w:tab w:val="num" w:pos="1440"/>
        </w:tabs>
        <w:ind w:left="1440" w:hanging="360"/>
      </w:pPr>
      <w:rPr>
        <w:rFonts w:ascii="Wingdings" w:hAnsi="Wingdings" w:hint="default"/>
      </w:rPr>
    </w:lvl>
    <w:lvl w:ilvl="2" w:tplc="AC0CB62A" w:tentative="1">
      <w:start w:val="1"/>
      <w:numFmt w:val="bullet"/>
      <w:lvlText w:val=""/>
      <w:lvlJc w:val="left"/>
      <w:pPr>
        <w:tabs>
          <w:tab w:val="num" w:pos="2160"/>
        </w:tabs>
        <w:ind w:left="2160" w:hanging="360"/>
      </w:pPr>
      <w:rPr>
        <w:rFonts w:ascii="Wingdings" w:hAnsi="Wingdings" w:hint="default"/>
      </w:rPr>
    </w:lvl>
    <w:lvl w:ilvl="3" w:tplc="F912B3CC" w:tentative="1">
      <w:start w:val="1"/>
      <w:numFmt w:val="bullet"/>
      <w:lvlText w:val=""/>
      <w:lvlJc w:val="left"/>
      <w:pPr>
        <w:tabs>
          <w:tab w:val="num" w:pos="2880"/>
        </w:tabs>
        <w:ind w:left="2880" w:hanging="360"/>
      </w:pPr>
      <w:rPr>
        <w:rFonts w:ascii="Wingdings" w:hAnsi="Wingdings" w:hint="default"/>
      </w:rPr>
    </w:lvl>
    <w:lvl w:ilvl="4" w:tplc="21541F24" w:tentative="1">
      <w:start w:val="1"/>
      <w:numFmt w:val="bullet"/>
      <w:lvlText w:val=""/>
      <w:lvlJc w:val="left"/>
      <w:pPr>
        <w:tabs>
          <w:tab w:val="num" w:pos="3600"/>
        </w:tabs>
        <w:ind w:left="3600" w:hanging="360"/>
      </w:pPr>
      <w:rPr>
        <w:rFonts w:ascii="Wingdings" w:hAnsi="Wingdings" w:hint="default"/>
      </w:rPr>
    </w:lvl>
    <w:lvl w:ilvl="5" w:tplc="F184179A" w:tentative="1">
      <w:start w:val="1"/>
      <w:numFmt w:val="bullet"/>
      <w:lvlText w:val=""/>
      <w:lvlJc w:val="left"/>
      <w:pPr>
        <w:tabs>
          <w:tab w:val="num" w:pos="4320"/>
        </w:tabs>
        <w:ind w:left="4320" w:hanging="360"/>
      </w:pPr>
      <w:rPr>
        <w:rFonts w:ascii="Wingdings" w:hAnsi="Wingdings" w:hint="default"/>
      </w:rPr>
    </w:lvl>
    <w:lvl w:ilvl="6" w:tplc="E73A393A" w:tentative="1">
      <w:start w:val="1"/>
      <w:numFmt w:val="bullet"/>
      <w:lvlText w:val=""/>
      <w:lvlJc w:val="left"/>
      <w:pPr>
        <w:tabs>
          <w:tab w:val="num" w:pos="5040"/>
        </w:tabs>
        <w:ind w:left="5040" w:hanging="360"/>
      </w:pPr>
      <w:rPr>
        <w:rFonts w:ascii="Wingdings" w:hAnsi="Wingdings" w:hint="default"/>
      </w:rPr>
    </w:lvl>
    <w:lvl w:ilvl="7" w:tplc="B9F445B6" w:tentative="1">
      <w:start w:val="1"/>
      <w:numFmt w:val="bullet"/>
      <w:lvlText w:val=""/>
      <w:lvlJc w:val="left"/>
      <w:pPr>
        <w:tabs>
          <w:tab w:val="num" w:pos="5760"/>
        </w:tabs>
        <w:ind w:left="5760" w:hanging="360"/>
      </w:pPr>
      <w:rPr>
        <w:rFonts w:ascii="Wingdings" w:hAnsi="Wingdings" w:hint="default"/>
      </w:rPr>
    </w:lvl>
    <w:lvl w:ilvl="8" w:tplc="D674BF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472B9"/>
    <w:multiLevelType w:val="hybridMultilevel"/>
    <w:tmpl w:val="D606313A"/>
    <w:lvl w:ilvl="0" w:tplc="F4BC6ACE">
      <w:start w:val="1"/>
      <w:numFmt w:val="lowerRoman"/>
      <w:lvlText w:val="%1."/>
      <w:lvlJc w:val="left"/>
      <w:pPr>
        <w:ind w:left="1080" w:hanging="72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41BC0"/>
    <w:multiLevelType w:val="hybridMultilevel"/>
    <w:tmpl w:val="B44AF116"/>
    <w:lvl w:ilvl="0" w:tplc="79147BD8">
      <w:start w:val="1"/>
      <w:numFmt w:val="bullet"/>
      <w:lvlText w:val=""/>
      <w:lvlJc w:val="left"/>
      <w:pPr>
        <w:tabs>
          <w:tab w:val="num" w:pos="720"/>
        </w:tabs>
        <w:ind w:left="720" w:hanging="360"/>
      </w:pPr>
      <w:rPr>
        <w:rFonts w:ascii="Wingdings" w:hAnsi="Wingdings" w:hint="default"/>
      </w:rPr>
    </w:lvl>
    <w:lvl w:ilvl="1" w:tplc="7790683A" w:tentative="1">
      <w:start w:val="1"/>
      <w:numFmt w:val="bullet"/>
      <w:lvlText w:val=""/>
      <w:lvlJc w:val="left"/>
      <w:pPr>
        <w:tabs>
          <w:tab w:val="num" w:pos="1440"/>
        </w:tabs>
        <w:ind w:left="1440" w:hanging="360"/>
      </w:pPr>
      <w:rPr>
        <w:rFonts w:ascii="Wingdings" w:hAnsi="Wingdings" w:hint="default"/>
      </w:rPr>
    </w:lvl>
    <w:lvl w:ilvl="2" w:tplc="E9F06434" w:tentative="1">
      <w:start w:val="1"/>
      <w:numFmt w:val="bullet"/>
      <w:lvlText w:val=""/>
      <w:lvlJc w:val="left"/>
      <w:pPr>
        <w:tabs>
          <w:tab w:val="num" w:pos="2160"/>
        </w:tabs>
        <w:ind w:left="2160" w:hanging="360"/>
      </w:pPr>
      <w:rPr>
        <w:rFonts w:ascii="Wingdings" w:hAnsi="Wingdings" w:hint="default"/>
      </w:rPr>
    </w:lvl>
    <w:lvl w:ilvl="3" w:tplc="A322E0CC" w:tentative="1">
      <w:start w:val="1"/>
      <w:numFmt w:val="bullet"/>
      <w:lvlText w:val=""/>
      <w:lvlJc w:val="left"/>
      <w:pPr>
        <w:tabs>
          <w:tab w:val="num" w:pos="2880"/>
        </w:tabs>
        <w:ind w:left="2880" w:hanging="360"/>
      </w:pPr>
      <w:rPr>
        <w:rFonts w:ascii="Wingdings" w:hAnsi="Wingdings" w:hint="default"/>
      </w:rPr>
    </w:lvl>
    <w:lvl w:ilvl="4" w:tplc="93D49A18" w:tentative="1">
      <w:start w:val="1"/>
      <w:numFmt w:val="bullet"/>
      <w:lvlText w:val=""/>
      <w:lvlJc w:val="left"/>
      <w:pPr>
        <w:tabs>
          <w:tab w:val="num" w:pos="3600"/>
        </w:tabs>
        <w:ind w:left="3600" w:hanging="360"/>
      </w:pPr>
      <w:rPr>
        <w:rFonts w:ascii="Wingdings" w:hAnsi="Wingdings" w:hint="default"/>
      </w:rPr>
    </w:lvl>
    <w:lvl w:ilvl="5" w:tplc="FBC4135A" w:tentative="1">
      <w:start w:val="1"/>
      <w:numFmt w:val="bullet"/>
      <w:lvlText w:val=""/>
      <w:lvlJc w:val="left"/>
      <w:pPr>
        <w:tabs>
          <w:tab w:val="num" w:pos="4320"/>
        </w:tabs>
        <w:ind w:left="4320" w:hanging="360"/>
      </w:pPr>
      <w:rPr>
        <w:rFonts w:ascii="Wingdings" w:hAnsi="Wingdings" w:hint="default"/>
      </w:rPr>
    </w:lvl>
    <w:lvl w:ilvl="6" w:tplc="B2B8F3F6" w:tentative="1">
      <w:start w:val="1"/>
      <w:numFmt w:val="bullet"/>
      <w:lvlText w:val=""/>
      <w:lvlJc w:val="left"/>
      <w:pPr>
        <w:tabs>
          <w:tab w:val="num" w:pos="5040"/>
        </w:tabs>
        <w:ind w:left="5040" w:hanging="360"/>
      </w:pPr>
      <w:rPr>
        <w:rFonts w:ascii="Wingdings" w:hAnsi="Wingdings" w:hint="default"/>
      </w:rPr>
    </w:lvl>
    <w:lvl w:ilvl="7" w:tplc="D0420A16" w:tentative="1">
      <w:start w:val="1"/>
      <w:numFmt w:val="bullet"/>
      <w:lvlText w:val=""/>
      <w:lvlJc w:val="left"/>
      <w:pPr>
        <w:tabs>
          <w:tab w:val="num" w:pos="5760"/>
        </w:tabs>
        <w:ind w:left="5760" w:hanging="360"/>
      </w:pPr>
      <w:rPr>
        <w:rFonts w:ascii="Wingdings" w:hAnsi="Wingdings" w:hint="default"/>
      </w:rPr>
    </w:lvl>
    <w:lvl w:ilvl="8" w:tplc="2D7422C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6C4291"/>
    <w:multiLevelType w:val="hybridMultilevel"/>
    <w:tmpl w:val="0470A336"/>
    <w:lvl w:ilvl="0" w:tplc="D5E2E3E6">
      <w:start w:val="1"/>
      <w:numFmt w:val="bullet"/>
      <w:lvlText w:val=""/>
      <w:lvlJc w:val="left"/>
      <w:pPr>
        <w:tabs>
          <w:tab w:val="num" w:pos="720"/>
        </w:tabs>
        <w:ind w:left="720" w:hanging="360"/>
      </w:pPr>
      <w:rPr>
        <w:rFonts w:ascii="Wingdings" w:hAnsi="Wingdings" w:hint="default"/>
      </w:rPr>
    </w:lvl>
    <w:lvl w:ilvl="1" w:tplc="8C007E52" w:tentative="1">
      <w:start w:val="1"/>
      <w:numFmt w:val="bullet"/>
      <w:lvlText w:val=""/>
      <w:lvlJc w:val="left"/>
      <w:pPr>
        <w:tabs>
          <w:tab w:val="num" w:pos="1440"/>
        </w:tabs>
        <w:ind w:left="1440" w:hanging="360"/>
      </w:pPr>
      <w:rPr>
        <w:rFonts w:ascii="Wingdings" w:hAnsi="Wingdings" w:hint="default"/>
      </w:rPr>
    </w:lvl>
    <w:lvl w:ilvl="2" w:tplc="8FBCB292" w:tentative="1">
      <w:start w:val="1"/>
      <w:numFmt w:val="bullet"/>
      <w:lvlText w:val=""/>
      <w:lvlJc w:val="left"/>
      <w:pPr>
        <w:tabs>
          <w:tab w:val="num" w:pos="2160"/>
        </w:tabs>
        <w:ind w:left="2160" w:hanging="360"/>
      </w:pPr>
      <w:rPr>
        <w:rFonts w:ascii="Wingdings" w:hAnsi="Wingdings" w:hint="default"/>
      </w:rPr>
    </w:lvl>
    <w:lvl w:ilvl="3" w:tplc="FD4AAC16" w:tentative="1">
      <w:start w:val="1"/>
      <w:numFmt w:val="bullet"/>
      <w:lvlText w:val=""/>
      <w:lvlJc w:val="left"/>
      <w:pPr>
        <w:tabs>
          <w:tab w:val="num" w:pos="2880"/>
        </w:tabs>
        <w:ind w:left="2880" w:hanging="360"/>
      </w:pPr>
      <w:rPr>
        <w:rFonts w:ascii="Wingdings" w:hAnsi="Wingdings" w:hint="default"/>
      </w:rPr>
    </w:lvl>
    <w:lvl w:ilvl="4" w:tplc="7C24FFE4" w:tentative="1">
      <w:start w:val="1"/>
      <w:numFmt w:val="bullet"/>
      <w:lvlText w:val=""/>
      <w:lvlJc w:val="left"/>
      <w:pPr>
        <w:tabs>
          <w:tab w:val="num" w:pos="3600"/>
        </w:tabs>
        <w:ind w:left="3600" w:hanging="360"/>
      </w:pPr>
      <w:rPr>
        <w:rFonts w:ascii="Wingdings" w:hAnsi="Wingdings" w:hint="default"/>
      </w:rPr>
    </w:lvl>
    <w:lvl w:ilvl="5" w:tplc="5CD27EFC" w:tentative="1">
      <w:start w:val="1"/>
      <w:numFmt w:val="bullet"/>
      <w:lvlText w:val=""/>
      <w:lvlJc w:val="left"/>
      <w:pPr>
        <w:tabs>
          <w:tab w:val="num" w:pos="4320"/>
        </w:tabs>
        <w:ind w:left="4320" w:hanging="360"/>
      </w:pPr>
      <w:rPr>
        <w:rFonts w:ascii="Wingdings" w:hAnsi="Wingdings" w:hint="default"/>
      </w:rPr>
    </w:lvl>
    <w:lvl w:ilvl="6" w:tplc="30D61022" w:tentative="1">
      <w:start w:val="1"/>
      <w:numFmt w:val="bullet"/>
      <w:lvlText w:val=""/>
      <w:lvlJc w:val="left"/>
      <w:pPr>
        <w:tabs>
          <w:tab w:val="num" w:pos="5040"/>
        </w:tabs>
        <w:ind w:left="5040" w:hanging="360"/>
      </w:pPr>
      <w:rPr>
        <w:rFonts w:ascii="Wingdings" w:hAnsi="Wingdings" w:hint="default"/>
      </w:rPr>
    </w:lvl>
    <w:lvl w:ilvl="7" w:tplc="6D969EB6" w:tentative="1">
      <w:start w:val="1"/>
      <w:numFmt w:val="bullet"/>
      <w:lvlText w:val=""/>
      <w:lvlJc w:val="left"/>
      <w:pPr>
        <w:tabs>
          <w:tab w:val="num" w:pos="5760"/>
        </w:tabs>
        <w:ind w:left="5760" w:hanging="360"/>
      </w:pPr>
      <w:rPr>
        <w:rFonts w:ascii="Wingdings" w:hAnsi="Wingdings" w:hint="default"/>
      </w:rPr>
    </w:lvl>
    <w:lvl w:ilvl="8" w:tplc="52B8D5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716D6E"/>
    <w:multiLevelType w:val="hybridMultilevel"/>
    <w:tmpl w:val="D8688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D6245"/>
    <w:multiLevelType w:val="hybridMultilevel"/>
    <w:tmpl w:val="89A641F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8859508">
    <w:abstractNumId w:val="3"/>
  </w:num>
  <w:num w:numId="2" w16cid:durableId="277294664">
    <w:abstractNumId w:val="0"/>
  </w:num>
  <w:num w:numId="3" w16cid:durableId="889222400">
    <w:abstractNumId w:val="2"/>
  </w:num>
  <w:num w:numId="4" w16cid:durableId="1085151629">
    <w:abstractNumId w:val="4"/>
  </w:num>
  <w:num w:numId="5" w16cid:durableId="623079277">
    <w:abstractNumId w:val="1"/>
  </w:num>
  <w:num w:numId="6" w16cid:durableId="1419986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xMzCwNDG0NLMwMTRU0lEKTi0uzszPAykwqQUAeN3F6CwAAAA="/>
  </w:docVars>
  <w:rsids>
    <w:rsidRoot w:val="005C10E1"/>
    <w:rsid w:val="0003075F"/>
    <w:rsid w:val="00046256"/>
    <w:rsid w:val="00097BBB"/>
    <w:rsid w:val="000D5D79"/>
    <w:rsid w:val="0010577B"/>
    <w:rsid w:val="001508D4"/>
    <w:rsid w:val="00167238"/>
    <w:rsid w:val="001834B2"/>
    <w:rsid w:val="00187FEE"/>
    <w:rsid w:val="0019266E"/>
    <w:rsid w:val="001927D2"/>
    <w:rsid w:val="001B28A5"/>
    <w:rsid w:val="001B68A3"/>
    <w:rsid w:val="001C7415"/>
    <w:rsid w:val="001D1A38"/>
    <w:rsid w:val="001E51F5"/>
    <w:rsid w:val="001F5CF6"/>
    <w:rsid w:val="00210A7A"/>
    <w:rsid w:val="002340CF"/>
    <w:rsid w:val="002724F3"/>
    <w:rsid w:val="00296E99"/>
    <w:rsid w:val="002A0FF4"/>
    <w:rsid w:val="002C3DBF"/>
    <w:rsid w:val="002C6488"/>
    <w:rsid w:val="00333EEE"/>
    <w:rsid w:val="00377F2A"/>
    <w:rsid w:val="003A0D3A"/>
    <w:rsid w:val="003D0F92"/>
    <w:rsid w:val="003F0D3A"/>
    <w:rsid w:val="004077BB"/>
    <w:rsid w:val="004C69FC"/>
    <w:rsid w:val="005B433F"/>
    <w:rsid w:val="005C10E1"/>
    <w:rsid w:val="005F214C"/>
    <w:rsid w:val="005F6829"/>
    <w:rsid w:val="00612F46"/>
    <w:rsid w:val="00613FE2"/>
    <w:rsid w:val="006405FC"/>
    <w:rsid w:val="006519A0"/>
    <w:rsid w:val="00652FC5"/>
    <w:rsid w:val="00685D67"/>
    <w:rsid w:val="006B62B1"/>
    <w:rsid w:val="006D2728"/>
    <w:rsid w:val="006E19AF"/>
    <w:rsid w:val="00700EA8"/>
    <w:rsid w:val="00722BFD"/>
    <w:rsid w:val="00771B99"/>
    <w:rsid w:val="007835C9"/>
    <w:rsid w:val="00787DD2"/>
    <w:rsid w:val="007961C2"/>
    <w:rsid w:val="007F104A"/>
    <w:rsid w:val="008E716E"/>
    <w:rsid w:val="008F0D60"/>
    <w:rsid w:val="008F51B7"/>
    <w:rsid w:val="0090187C"/>
    <w:rsid w:val="009025BB"/>
    <w:rsid w:val="00904110"/>
    <w:rsid w:val="00920BFA"/>
    <w:rsid w:val="00942707"/>
    <w:rsid w:val="00951CCC"/>
    <w:rsid w:val="009679C6"/>
    <w:rsid w:val="00984284"/>
    <w:rsid w:val="00985FC8"/>
    <w:rsid w:val="00A2738A"/>
    <w:rsid w:val="00A62676"/>
    <w:rsid w:val="00A721DF"/>
    <w:rsid w:val="00A74184"/>
    <w:rsid w:val="00AA07F4"/>
    <w:rsid w:val="00AA2798"/>
    <w:rsid w:val="00AB235D"/>
    <w:rsid w:val="00AC0B54"/>
    <w:rsid w:val="00B05FF0"/>
    <w:rsid w:val="00B5669F"/>
    <w:rsid w:val="00B64DF4"/>
    <w:rsid w:val="00B80867"/>
    <w:rsid w:val="00B95316"/>
    <w:rsid w:val="00BB2E02"/>
    <w:rsid w:val="00C0088C"/>
    <w:rsid w:val="00C74048"/>
    <w:rsid w:val="00CB5149"/>
    <w:rsid w:val="00CE5628"/>
    <w:rsid w:val="00D2079A"/>
    <w:rsid w:val="00D25DBD"/>
    <w:rsid w:val="00D511B2"/>
    <w:rsid w:val="00D76A1E"/>
    <w:rsid w:val="00D81839"/>
    <w:rsid w:val="00D83198"/>
    <w:rsid w:val="00D83559"/>
    <w:rsid w:val="00DA48BB"/>
    <w:rsid w:val="00DA7C61"/>
    <w:rsid w:val="00DE3AC2"/>
    <w:rsid w:val="00DE404A"/>
    <w:rsid w:val="00DE4181"/>
    <w:rsid w:val="00DF2982"/>
    <w:rsid w:val="00DF369D"/>
    <w:rsid w:val="00E038C8"/>
    <w:rsid w:val="00E74917"/>
    <w:rsid w:val="00E92D9C"/>
    <w:rsid w:val="00EB2C02"/>
    <w:rsid w:val="00EC62A8"/>
    <w:rsid w:val="00EC701B"/>
    <w:rsid w:val="00F55E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E1F5C"/>
  <w15:docId w15:val="{8D864106-C96D-4238-B278-7D584667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BB"/>
    <w:rPr>
      <w:lang w:val="en-GB"/>
    </w:rPr>
  </w:style>
  <w:style w:type="paragraph" w:styleId="Heading1">
    <w:name w:val="heading 1"/>
    <w:basedOn w:val="Normal"/>
    <w:next w:val="Normal"/>
    <w:link w:val="Heading1Char"/>
    <w:autoRedefine/>
    <w:uiPriority w:val="9"/>
    <w:qFormat/>
    <w:rsid w:val="005C10E1"/>
    <w:pPr>
      <w:keepNext/>
      <w:keepLines/>
      <w:spacing w:before="120" w:after="120" w:line="360" w:lineRule="auto"/>
      <w:outlineLvl w:val="0"/>
    </w:pPr>
    <w:rPr>
      <w:rFonts w:ascii="Times New Roman" w:eastAsiaTheme="majorEastAsia" w:hAnsi="Times New Roman" w:cstheme="majorBidi"/>
      <w:b/>
      <w:color w:val="000000" w:themeColor="text1"/>
      <w:sz w:val="24"/>
      <w:szCs w:val="32"/>
      <w:lang w:val="en-US"/>
    </w:rPr>
  </w:style>
  <w:style w:type="paragraph" w:styleId="Heading2">
    <w:name w:val="heading 2"/>
    <w:basedOn w:val="Normal"/>
    <w:next w:val="Normal"/>
    <w:link w:val="Heading2Char"/>
    <w:autoRedefine/>
    <w:uiPriority w:val="9"/>
    <w:unhideWhenUsed/>
    <w:qFormat/>
    <w:rsid w:val="00DE4181"/>
    <w:pPr>
      <w:keepNext/>
      <w:keepLines/>
      <w:spacing w:before="120" w:after="120" w:line="360"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181"/>
    <w:rPr>
      <w:rFonts w:ascii="Times New Roman" w:eastAsiaTheme="majorEastAsia" w:hAnsi="Times New Roman" w:cstheme="majorBidi"/>
      <w:b/>
      <w:color w:val="000000" w:themeColor="text1"/>
      <w:sz w:val="24"/>
      <w:szCs w:val="26"/>
      <w:lang w:val="en-GB"/>
    </w:rPr>
  </w:style>
  <w:style w:type="character" w:customStyle="1" w:styleId="Heading1Char">
    <w:name w:val="Heading 1 Char"/>
    <w:basedOn w:val="DefaultParagraphFont"/>
    <w:link w:val="Heading1"/>
    <w:uiPriority w:val="9"/>
    <w:rsid w:val="005C10E1"/>
    <w:rPr>
      <w:rFonts w:ascii="Times New Roman" w:eastAsiaTheme="majorEastAsia" w:hAnsi="Times New Roman" w:cstheme="majorBidi"/>
      <w:b/>
      <w:color w:val="000000" w:themeColor="text1"/>
      <w:sz w:val="24"/>
      <w:szCs w:val="32"/>
    </w:rPr>
  </w:style>
  <w:style w:type="paragraph" w:styleId="Title">
    <w:name w:val="Title"/>
    <w:basedOn w:val="Normal"/>
    <w:next w:val="Normal"/>
    <w:link w:val="TitleChar"/>
    <w:uiPriority w:val="10"/>
    <w:qFormat/>
    <w:rsid w:val="005C10E1"/>
    <w:pPr>
      <w:spacing w:before="120" w:after="120" w:line="360" w:lineRule="auto"/>
      <w:contextualSpacing/>
      <w:jc w:val="center"/>
    </w:pPr>
    <w:rPr>
      <w:rFonts w:ascii="Times New Roman" w:eastAsiaTheme="majorEastAsia" w:hAnsi="Times New Roman" w:cstheme="majorBidi"/>
      <w:b/>
      <w:color w:val="000000" w:themeColor="text1"/>
      <w:spacing w:val="-10"/>
      <w:kern w:val="28"/>
      <w:sz w:val="24"/>
      <w:szCs w:val="56"/>
    </w:rPr>
  </w:style>
  <w:style w:type="character" w:customStyle="1" w:styleId="TitleChar">
    <w:name w:val="Title Char"/>
    <w:basedOn w:val="DefaultParagraphFont"/>
    <w:link w:val="Title"/>
    <w:uiPriority w:val="10"/>
    <w:rsid w:val="005C10E1"/>
    <w:rPr>
      <w:rFonts w:ascii="Times New Roman" w:eastAsiaTheme="majorEastAsia" w:hAnsi="Times New Roman" w:cstheme="majorBidi"/>
      <w:b/>
      <w:color w:val="000000" w:themeColor="text1"/>
      <w:spacing w:val="-10"/>
      <w:kern w:val="28"/>
      <w:sz w:val="24"/>
      <w:szCs w:val="56"/>
      <w:lang w:val="en-GB"/>
    </w:rPr>
  </w:style>
  <w:style w:type="paragraph" w:styleId="Header">
    <w:name w:val="header"/>
    <w:basedOn w:val="Normal"/>
    <w:link w:val="HeaderChar"/>
    <w:uiPriority w:val="99"/>
    <w:unhideWhenUsed/>
    <w:rsid w:val="005C1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0E1"/>
    <w:rPr>
      <w:lang w:val="en-GB"/>
    </w:rPr>
  </w:style>
  <w:style w:type="paragraph" w:styleId="Footer">
    <w:name w:val="footer"/>
    <w:basedOn w:val="Normal"/>
    <w:link w:val="FooterChar"/>
    <w:uiPriority w:val="99"/>
    <w:unhideWhenUsed/>
    <w:rsid w:val="005C1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0E1"/>
    <w:rPr>
      <w:lang w:val="en-GB"/>
    </w:rPr>
  </w:style>
  <w:style w:type="character" w:styleId="Hyperlink">
    <w:name w:val="Hyperlink"/>
    <w:basedOn w:val="DefaultParagraphFont"/>
    <w:uiPriority w:val="99"/>
    <w:unhideWhenUsed/>
    <w:rsid w:val="005C10E1"/>
    <w:rPr>
      <w:color w:val="0563C1" w:themeColor="hyperlink"/>
      <w:u w:val="single"/>
    </w:rPr>
  </w:style>
  <w:style w:type="character" w:customStyle="1" w:styleId="UnresolvedMention1">
    <w:name w:val="Unresolved Mention1"/>
    <w:basedOn w:val="DefaultParagraphFont"/>
    <w:uiPriority w:val="99"/>
    <w:semiHidden/>
    <w:unhideWhenUsed/>
    <w:rsid w:val="005C10E1"/>
    <w:rPr>
      <w:color w:val="605E5C"/>
      <w:shd w:val="clear" w:color="auto" w:fill="E1DFDD"/>
    </w:rPr>
  </w:style>
  <w:style w:type="table" w:styleId="TableGrid">
    <w:name w:val="Table Grid"/>
    <w:basedOn w:val="TableNormal"/>
    <w:uiPriority w:val="59"/>
    <w:rsid w:val="00D81839"/>
    <w:pPr>
      <w:spacing w:after="0" w:line="240" w:lineRule="auto"/>
    </w:pPr>
    <w:rPr>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62A8"/>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EC62A8"/>
    <w:pPr>
      <w:spacing w:after="0" w:line="240" w:lineRule="auto"/>
      <w:ind w:left="720"/>
      <w:contextualSpacing/>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CE5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62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67075">
      <w:bodyDiv w:val="1"/>
      <w:marLeft w:val="0"/>
      <w:marRight w:val="0"/>
      <w:marTop w:val="0"/>
      <w:marBottom w:val="0"/>
      <w:divBdr>
        <w:top w:val="none" w:sz="0" w:space="0" w:color="auto"/>
        <w:left w:val="none" w:sz="0" w:space="0" w:color="auto"/>
        <w:bottom w:val="none" w:sz="0" w:space="0" w:color="auto"/>
        <w:right w:val="none" w:sz="0" w:space="0" w:color="auto"/>
      </w:divBdr>
      <w:divsChild>
        <w:div w:id="601768527">
          <w:marLeft w:val="734"/>
          <w:marRight w:val="0"/>
          <w:marTop w:val="120"/>
          <w:marBottom w:val="120"/>
          <w:divBdr>
            <w:top w:val="none" w:sz="0" w:space="0" w:color="auto"/>
            <w:left w:val="none" w:sz="0" w:space="0" w:color="auto"/>
            <w:bottom w:val="none" w:sz="0" w:space="0" w:color="auto"/>
            <w:right w:val="none" w:sz="0" w:space="0" w:color="auto"/>
          </w:divBdr>
        </w:div>
        <w:div w:id="1334799756">
          <w:marLeft w:val="734"/>
          <w:marRight w:val="0"/>
          <w:marTop w:val="120"/>
          <w:marBottom w:val="120"/>
          <w:divBdr>
            <w:top w:val="none" w:sz="0" w:space="0" w:color="auto"/>
            <w:left w:val="none" w:sz="0" w:space="0" w:color="auto"/>
            <w:bottom w:val="none" w:sz="0" w:space="0" w:color="auto"/>
            <w:right w:val="none" w:sz="0" w:space="0" w:color="auto"/>
          </w:divBdr>
        </w:div>
      </w:divsChild>
    </w:div>
    <w:div w:id="1168596086">
      <w:bodyDiv w:val="1"/>
      <w:marLeft w:val="0"/>
      <w:marRight w:val="0"/>
      <w:marTop w:val="0"/>
      <w:marBottom w:val="0"/>
      <w:divBdr>
        <w:top w:val="none" w:sz="0" w:space="0" w:color="auto"/>
        <w:left w:val="none" w:sz="0" w:space="0" w:color="auto"/>
        <w:bottom w:val="none" w:sz="0" w:space="0" w:color="auto"/>
        <w:right w:val="none" w:sz="0" w:space="0" w:color="auto"/>
      </w:divBdr>
      <w:divsChild>
        <w:div w:id="352147128">
          <w:marLeft w:val="73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707937263457787"/>
          <c:y val="0.14955645161290346"/>
          <c:w val="0.37406658696652723"/>
          <c:h val="0.64126778003556006"/>
        </c:manualLayout>
      </c:layout>
      <c:pieChart>
        <c:varyColors val="1"/>
        <c:ser>
          <c:idx val="0"/>
          <c:order val="0"/>
          <c:tx>
            <c:strRef>
              <c:f>Sheet1!$B$1</c:f>
              <c:strCache>
                <c:ptCount val="1"/>
                <c:pt idx="0">
                  <c:v>Percentage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15-414B-AFBF-AEC168FAC62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A30C-4B08-9E94-670CD5708A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D-A30C-4B08-9E94-670CD5708A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5-A30C-4B08-9E94-670CD5708A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6-A30C-4B08-9E94-670CD5708A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C-A30C-4B08-9E94-670CD5708A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8-A30C-4B08-9E94-670CD5708A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B-A30C-4B08-9E94-670CD5708AC1}"/>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A30C-4B08-9E94-670CD5708AC1}"/>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A-A30C-4B08-9E94-670CD5708AC1}"/>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7-A30C-4B08-9E94-670CD5708AC1}"/>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4-A30C-4B08-9E94-670CD5708AC1}"/>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3-A30C-4B08-9E94-670CD5708AC1}"/>
              </c:ext>
            </c:extLst>
          </c:dPt>
          <c:dLbls>
            <c:dLbl>
              <c:idx val="1"/>
              <c:layout>
                <c:manualLayout>
                  <c:x val="-0.11760555098200658"/>
                  <c:y val="-4.612159329140456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942733504895447"/>
                      <c:h val="0.11188333353554228"/>
                    </c:manualLayout>
                  </c15:layout>
                </c:ext>
                <c:ext xmlns:c16="http://schemas.microsoft.com/office/drawing/2014/chart" uri="{C3380CC4-5D6E-409C-BE32-E72D297353CC}">
                  <c16:uniqueId val="{00000002-A30C-4B08-9E94-670CD5708AC1}"/>
                </c:ext>
              </c:extLst>
            </c:dLbl>
            <c:dLbl>
              <c:idx val="2"/>
              <c:layout>
                <c:manualLayout>
                  <c:x val="-1.8816888157121021E-2"/>
                  <c:y val="4.314329738058550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30C-4B08-9E94-670CD5708AC1}"/>
                </c:ext>
              </c:extLst>
            </c:dLbl>
            <c:dLbl>
              <c:idx val="3"/>
              <c:layout>
                <c:manualLayout>
                  <c:x val="-8.2323885687404466E-2"/>
                  <c:y val="0.1479198767334362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30C-4B08-9E94-670CD5708AC1}"/>
                </c:ext>
              </c:extLst>
            </c:dLbl>
            <c:dLbl>
              <c:idx val="4"/>
              <c:layout>
                <c:manualLayout>
                  <c:x val="-0.19287310361049051"/>
                  <c:y val="0.1263482280431432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A30C-4B08-9E94-670CD5708AC1}"/>
                </c:ext>
              </c:extLst>
            </c:dLbl>
            <c:dLbl>
              <c:idx val="5"/>
              <c:layout>
                <c:manualLayout>
                  <c:x val="-0.23756321298365282"/>
                  <c:y val="4.314329738058555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A30C-4B08-9E94-670CD5708AC1}"/>
                </c:ext>
              </c:extLst>
            </c:dLbl>
            <c:dLbl>
              <c:idx val="6"/>
              <c:layout>
                <c:manualLayout>
                  <c:x val="-0.23050687992473237"/>
                  <c:y val="-4.314329738058555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A30C-4B08-9E94-670CD5708AC1}"/>
                </c:ext>
              </c:extLst>
            </c:dLbl>
            <c:dLbl>
              <c:idx val="7"/>
              <c:layout>
                <c:manualLayout>
                  <c:x val="-7.0562404561243901E-3"/>
                  <c:y val="-0.15100154083204947"/>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7228842807679734"/>
                      <c:h val="9.6190626402824456E-2"/>
                    </c:manualLayout>
                  </c15:layout>
                </c:ext>
                <c:ext xmlns:c16="http://schemas.microsoft.com/office/drawing/2014/chart" uri="{C3380CC4-5D6E-409C-BE32-E72D297353CC}">
                  <c16:uniqueId val="{0000000B-A30C-4B08-9E94-670CD5708AC1}"/>
                </c:ext>
              </c:extLst>
            </c:dLbl>
            <c:dLbl>
              <c:idx val="8"/>
              <c:layout>
                <c:manualLayout>
                  <c:x val="-0.27284487827825527"/>
                  <c:y val="-0.1078582434514637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30C-4B08-9E94-670CD5708AC1}"/>
                </c:ext>
              </c:extLst>
            </c:dLbl>
            <c:dLbl>
              <c:idx val="9"/>
              <c:layout>
                <c:manualLayout>
                  <c:x val="0.1034928848641655"/>
                  <c:y val="-0.1510015408320494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A30C-4B08-9E94-670CD5708AC1}"/>
                </c:ext>
              </c:extLst>
            </c:dLbl>
            <c:dLbl>
              <c:idx val="10"/>
              <c:layout>
                <c:manualLayout>
                  <c:x val="0.22227449135599228"/>
                  <c:y val="-0.11295730831646134"/>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7364654068364938"/>
                      <c:h val="0.1014008171658955"/>
                    </c:manualLayout>
                  </c15:layout>
                </c:ext>
                <c:ext xmlns:c16="http://schemas.microsoft.com/office/drawing/2014/chart" uri="{C3380CC4-5D6E-409C-BE32-E72D297353CC}">
                  <c16:uniqueId val="{00000007-A30C-4B08-9E94-670CD5708AC1}"/>
                </c:ext>
              </c:extLst>
            </c:dLbl>
            <c:dLbl>
              <c:idx val="11"/>
              <c:layout>
                <c:manualLayout>
                  <c:x val="0.41867576149594316"/>
                  <c:y val="-5.505963016278487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8071583813401662"/>
                      <c:h val="0.11550125821901128"/>
                    </c:manualLayout>
                  </c15:layout>
                </c:ext>
                <c:ext xmlns:c16="http://schemas.microsoft.com/office/drawing/2014/chart" uri="{C3380CC4-5D6E-409C-BE32-E72D297353CC}">
                  <c16:uniqueId val="{00000004-A30C-4B08-9E94-670CD5708AC1}"/>
                </c:ext>
              </c:extLst>
            </c:dLbl>
            <c:dLbl>
              <c:idx val="12"/>
              <c:layout>
                <c:manualLayout>
                  <c:x val="0.39985887333882275"/>
                  <c:y val="6.5657509854141566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9881246174346989"/>
                      <c:h val="0.11656573856103039"/>
                    </c:manualLayout>
                  </c15:layout>
                </c:ext>
                <c:ext xmlns:c16="http://schemas.microsoft.com/office/drawing/2014/chart" uri="{C3380CC4-5D6E-409C-BE32-E72D297353CC}">
                  <c16:uniqueId val="{00000003-A30C-4B08-9E94-670CD5708AC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Sheet1!$A$2:$A$14</c:f>
              <c:strCache>
                <c:ptCount val="13"/>
                <c:pt idx="0">
                  <c:v>Librarian</c:v>
                </c:pt>
                <c:pt idx="1">
                  <c:v>Researcher/Academic</c:v>
                </c:pt>
                <c:pt idx="2">
                  <c:v>Students</c:v>
                </c:pt>
                <c:pt idx="3">
                  <c:v>Government Official</c:v>
                </c:pt>
                <c:pt idx="4">
                  <c:v>IT Specialist</c:v>
                </c:pt>
                <c:pt idx="5">
                  <c:v>Publishers </c:v>
                </c:pt>
                <c:pt idx="6">
                  <c:v>Entrepreneur </c:v>
                </c:pt>
                <c:pt idx="7">
                  <c:v>Quantity Surveyor </c:v>
                </c:pt>
                <c:pt idx="8">
                  <c:v>CHIEF LIBRARY Assistant </c:v>
                </c:pt>
                <c:pt idx="9">
                  <c:v>Self Employed </c:v>
                </c:pt>
                <c:pt idx="10">
                  <c:v>Business </c:v>
                </c:pt>
                <c:pt idx="11">
                  <c:v>Library Assistant </c:v>
                </c:pt>
                <c:pt idx="12">
                  <c:v>Library Attendance </c:v>
                </c:pt>
              </c:strCache>
            </c:strRef>
          </c:cat>
          <c:val>
            <c:numRef>
              <c:f>Sheet1!$B$2:$B$14</c:f>
              <c:numCache>
                <c:formatCode>General</c:formatCode>
                <c:ptCount val="13"/>
                <c:pt idx="0">
                  <c:v>10.53</c:v>
                </c:pt>
                <c:pt idx="1">
                  <c:v>2.48</c:v>
                </c:pt>
                <c:pt idx="2">
                  <c:v>2.48</c:v>
                </c:pt>
                <c:pt idx="3">
                  <c:v>1.55</c:v>
                </c:pt>
                <c:pt idx="4">
                  <c:v>0.62000000000000066</c:v>
                </c:pt>
                <c:pt idx="5">
                  <c:v>0.62000000000000066</c:v>
                </c:pt>
                <c:pt idx="6">
                  <c:v>0.31000000000000033</c:v>
                </c:pt>
                <c:pt idx="7">
                  <c:v>0.31000000000000033</c:v>
                </c:pt>
                <c:pt idx="8">
                  <c:v>0.31000000000000033</c:v>
                </c:pt>
                <c:pt idx="9">
                  <c:v>0.31000000000000033</c:v>
                </c:pt>
                <c:pt idx="10">
                  <c:v>0.31000000000000033</c:v>
                </c:pt>
                <c:pt idx="11">
                  <c:v>0.31000000000000033</c:v>
                </c:pt>
                <c:pt idx="12">
                  <c:v>0.31000000000000033</c:v>
                </c:pt>
              </c:numCache>
            </c:numRef>
          </c:val>
          <c:extLst>
            <c:ext xmlns:c16="http://schemas.microsoft.com/office/drawing/2014/chart" uri="{C3380CC4-5D6E-409C-BE32-E72D297353CC}">
              <c16:uniqueId val="{00000000-A30C-4B08-9E94-670CD5708AC1}"/>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
          <c:y val="0.85726770002806252"/>
          <c:w val="0.9908297303128778"/>
          <c:h val="0.142732299971937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99F3B15-7ED8-4E35-A217-62D409AA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4787</Words>
  <Characters>27287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 Phil</dc:creator>
  <cp:lastModifiedBy>Jumai</cp:lastModifiedBy>
  <cp:revision>11</cp:revision>
  <dcterms:created xsi:type="dcterms:W3CDTF">2025-07-16T10:49:00Z</dcterms:created>
  <dcterms:modified xsi:type="dcterms:W3CDTF">2025-11-10T12:20:00Z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afc3fb4f-23f7-4cd2-96c6-a66baa57738c</vt:lpwstr>
  </property>
  <property fmtid="{D5CDD505-2E9C-101B-9397-08002B2CF9AE}" pid="3" name="MSIP_Label_defa4170-0d19-0005-0004-bc88714345d2_Enabled">
    <vt:lpwstr>true</vt:lpwstr>
  </property>
  <property fmtid="{D5CDD505-2E9C-101B-9397-08002B2CF9AE}" pid="4" name="MSIP_Label_defa4170-0d19-0005-0004-bc88714345d2_SetDate">
    <vt:lpwstr>2025-03-24T01:12:23Z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931a7c33-7085-421d-addb-5ad1ef606e15</vt:lpwstr>
  </property>
  <property fmtid="{D5CDD505-2E9C-101B-9397-08002B2CF9AE}" pid="8" name="MSIP_Label_defa4170-0d19-0005-0004-bc88714345d2_ActionId">
    <vt:lpwstr>56e48d12-70e6-4d0a-aef4-49334800557d</vt:lpwstr>
  </property>
  <property fmtid="{D5CDD505-2E9C-101B-9397-08002B2CF9AE}" pid="9" name="MSIP_Label_defa4170-0d19-0005-0004-bc88714345d2_ContentBits">
    <vt:lpwstr>0</vt:lpwstr>
  </property>
</Properties>
</file>