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4231" w:rsidRDefault="00000000">
      <w:pPr>
        <w:spacing w:after="0" w:line="240" w:lineRule="auto"/>
        <w:ind w:firstLine="780"/>
        <w:jc w:val="both"/>
        <w:rPr>
          <w:sz w:val="28"/>
        </w:rPr>
      </w:pPr>
      <w:r>
        <w:rPr>
          <w:rFonts w:ascii="Calibri" w:eastAsia="Calibri" w:hAnsi="Calibri" w:hint="eastAsia"/>
          <w:b/>
          <w:color w:val="000000"/>
          <w:sz w:val="28"/>
        </w:rPr>
        <w:t xml:space="preserve">Legal Deposit Compliance </w:t>
      </w:r>
      <w:r>
        <w:rPr>
          <w:rFonts w:ascii="Calibri" w:eastAsia="Calibri" w:hAnsi="Calibri" w:hint="eastAsia"/>
          <w:color w:val="000000"/>
          <w:sz w:val="28"/>
        </w:rPr>
        <w:t>in</w:t>
      </w:r>
      <w:r>
        <w:rPr>
          <w:rFonts w:ascii="Calibri" w:eastAsia="Calibri" w:hAnsi="Calibri" w:hint="eastAsia"/>
          <w:b/>
          <w:color w:val="000000"/>
          <w:sz w:val="28"/>
        </w:rPr>
        <w:t xml:space="preserve"> </w:t>
      </w:r>
      <w:r>
        <w:rPr>
          <w:rFonts w:ascii="Calibri" w:eastAsia="Calibri" w:hAnsi="Calibri" w:hint="eastAsia"/>
          <w:color w:val="000000"/>
          <w:sz w:val="28"/>
        </w:rPr>
        <w:t>Nigeria</w:t>
      </w:r>
      <w:r>
        <w:rPr>
          <w:rFonts w:ascii="Calibri" w:eastAsia="Calibri" w:hAnsi="Calibri" w:hint="eastAsia"/>
          <w:b/>
          <w:color w:val="000000"/>
          <w:sz w:val="28"/>
        </w:rPr>
        <w:t>:</w:t>
      </w:r>
      <w:r>
        <w:rPr>
          <w:rFonts w:ascii="Calibri" w:eastAsia="Calibri" w:hAnsi="Calibri" w:hint="eastAsia"/>
          <w:color w:val="000000"/>
          <w:sz w:val="28"/>
        </w:rPr>
        <w:t xml:space="preserve"> Issues</w:t>
      </w:r>
      <w:r>
        <w:rPr>
          <w:rFonts w:ascii="Calibri" w:eastAsia="Calibri" w:hAnsi="Calibri" w:hint="eastAsia"/>
          <w:b/>
          <w:color w:val="000000"/>
          <w:sz w:val="28"/>
        </w:rPr>
        <w:t xml:space="preserve"> and Challenges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before="118" w:after="0" w:line="239" w:lineRule="auto"/>
        <w:ind w:firstLine="452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By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before="147" w:after="0" w:line="239" w:lineRule="auto"/>
        <w:ind w:firstLine="1700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 xml:space="preserve">Akpabio </w:t>
      </w:r>
      <w:proofErr w:type="spellStart"/>
      <w:r>
        <w:rPr>
          <w:rFonts w:ascii="Calibri" w:eastAsia="Calibri" w:hAnsi="Calibri" w:hint="eastAsia"/>
          <w:b/>
          <w:color w:val="000000"/>
          <w:sz w:val="25"/>
        </w:rPr>
        <w:t>I.G,Abdulazeez</w:t>
      </w:r>
      <w:proofErr w:type="spellEnd"/>
      <w:r>
        <w:rPr>
          <w:rFonts w:ascii="Calibri" w:eastAsia="Calibri" w:hAnsi="Calibri" w:hint="eastAsia"/>
          <w:b/>
          <w:color w:val="000000"/>
          <w:sz w:val="25"/>
        </w:rPr>
        <w:t xml:space="preserve"> M.K. </w:t>
      </w:r>
      <w:r>
        <w:rPr>
          <w:rFonts w:ascii="Calibri" w:eastAsia="Calibri" w:hAnsi="Calibri" w:hint="eastAsia"/>
          <w:color w:val="000000"/>
          <w:sz w:val="25"/>
        </w:rPr>
        <w:t>and</w:t>
      </w:r>
      <w:r>
        <w:rPr>
          <w:rFonts w:ascii="Calibri" w:eastAsia="Calibri" w:hAnsi="Calibri" w:hint="eastAsia"/>
          <w:b/>
          <w:color w:val="000000"/>
          <w:sz w:val="25"/>
        </w:rPr>
        <w:t xml:space="preserve"> </w:t>
      </w:r>
      <w:proofErr w:type="spellStart"/>
      <w:r>
        <w:rPr>
          <w:rFonts w:ascii="Calibri" w:eastAsia="Calibri" w:hAnsi="Calibri" w:hint="eastAsia"/>
          <w:b/>
          <w:color w:val="000000"/>
          <w:sz w:val="25"/>
        </w:rPr>
        <w:t>Oye</w:t>
      </w:r>
      <w:proofErr w:type="spellEnd"/>
      <w:r>
        <w:rPr>
          <w:rFonts w:ascii="Calibri" w:eastAsia="Calibri" w:hAnsi="Calibri" w:hint="eastAsia"/>
          <w:color w:val="000000"/>
          <w:sz w:val="25"/>
        </w:rPr>
        <w:t xml:space="preserve"> O.M.</w:t>
      </w:r>
    </w:p>
    <w:p w:rsidR="00C34231" w:rsidRDefault="00000000">
      <w:pPr>
        <w:spacing w:before="67" w:after="0" w:line="239" w:lineRule="auto"/>
        <w:ind w:firstLine="2440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 xml:space="preserve">National Library of </w:t>
      </w:r>
      <w:proofErr w:type="spellStart"/>
      <w:r>
        <w:rPr>
          <w:rFonts w:ascii="Calibri" w:eastAsia="Calibri" w:hAnsi="Calibri" w:hint="eastAsia"/>
          <w:b/>
          <w:color w:val="000000"/>
          <w:sz w:val="25"/>
        </w:rPr>
        <w:t>Nigeria,Abuja</w:t>
      </w:r>
      <w:proofErr w:type="spellEnd"/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after="0" w:line="211" w:lineRule="auto"/>
        <w:ind w:firstLine="40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Abstract</w:t>
      </w:r>
    </w:p>
    <w:p w:rsidR="00C34231" w:rsidRDefault="00000000">
      <w:pPr>
        <w:spacing w:before="141" w:after="0" w:line="249" w:lineRule="auto"/>
        <w:ind w:left="40" w:right="1240"/>
        <w:jc w:val="both"/>
        <w:rPr>
          <w:sz w:val="25"/>
        </w:rPr>
      </w:pPr>
      <w:r>
        <w:rPr>
          <w:rFonts w:ascii="Calibri" w:eastAsia="Calibri" w:hAnsi="Calibri" w:hint="eastAsia"/>
          <w:i/>
          <w:color w:val="000000"/>
          <w:sz w:val="25"/>
        </w:rPr>
        <w:t>The National Library of Nigeria Act of 1970 in section 4 clearly states legal deposit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obligations and consequences for any infraction. This proactively provides a cover for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inclusion of electronic publications which means that irrespective of the medium of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delivery of the content, the legal provision applies. The number of titles submitted as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 xml:space="preserve">legal deposit nose-dived from 903 and 1042 in 2013 and 2014 </w:t>
      </w:r>
      <w:proofErr w:type="spellStart"/>
      <w:r>
        <w:rPr>
          <w:rFonts w:ascii="Calibri" w:eastAsia="Calibri" w:hAnsi="Calibri" w:hint="eastAsia"/>
          <w:i/>
          <w:color w:val="000000"/>
          <w:sz w:val="25"/>
        </w:rPr>
        <w:t>respectivelyto</w:t>
      </w:r>
      <w:proofErr w:type="spellEnd"/>
      <w:r>
        <w:rPr>
          <w:rFonts w:ascii="Calibri" w:eastAsia="Calibri" w:hAnsi="Calibri" w:hint="eastAsia"/>
          <w:i/>
          <w:color w:val="000000"/>
          <w:sz w:val="25"/>
        </w:rPr>
        <w:t xml:space="preserve"> 351 in 2015for serials. The rate of change (geometric mean) in legal deposit for serials and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monographs in the last 10 years (2007-2016) were 1289 and 3399 titles/year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proofErr w:type="spellStart"/>
      <w:r>
        <w:rPr>
          <w:rFonts w:ascii="Calibri" w:eastAsia="Calibri" w:hAnsi="Calibri" w:hint="eastAsia"/>
          <w:i/>
          <w:color w:val="000000"/>
          <w:sz w:val="25"/>
        </w:rPr>
        <w:t>respectively.Simple</w:t>
      </w:r>
      <w:proofErr w:type="spellEnd"/>
      <w:r>
        <w:rPr>
          <w:rFonts w:ascii="Calibri" w:eastAsia="Calibri" w:hAnsi="Calibri" w:hint="eastAsia"/>
          <w:i/>
          <w:color w:val="000000"/>
          <w:sz w:val="25"/>
        </w:rPr>
        <w:t xml:space="preserve"> computation of legal deposit compliance level based on percentage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of titles submitted against the total number of serials and monographs published in a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particular year is also a problem. The details of the specific amendments being proposed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to the legal deposit legislation are yet to be made public. A monitoring and evaluation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plan which is a self-auditing process that helps management to identify any deviation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from set goals is needed. The challenges facing legal deposit compliance in Nigeria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 w:hint="eastAsia"/>
          <w:i/>
          <w:color w:val="000000"/>
          <w:sz w:val="25"/>
        </w:rPr>
        <w:t>range from the problem of non-adherence to the time-</w:t>
      </w:r>
      <w:proofErr w:type="spellStart"/>
      <w:r>
        <w:rPr>
          <w:rFonts w:ascii="Calibri" w:eastAsia="Calibri" w:hAnsi="Calibri" w:hint="eastAsia"/>
          <w:i/>
          <w:color w:val="000000"/>
          <w:sz w:val="25"/>
        </w:rPr>
        <w:t>limit,non</w:t>
      </w:r>
      <w:proofErr w:type="spellEnd"/>
      <w:r>
        <w:rPr>
          <w:rFonts w:ascii="Calibri" w:eastAsia="Calibri" w:hAnsi="Calibri" w:hint="eastAsia"/>
          <w:i/>
          <w:color w:val="000000"/>
          <w:sz w:val="25"/>
        </w:rPr>
        <w:t>-submission of required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proofErr w:type="spellStart"/>
      <w:r>
        <w:rPr>
          <w:rFonts w:ascii="Calibri" w:eastAsia="Calibri" w:hAnsi="Calibri" w:hint="eastAsia"/>
          <w:i/>
          <w:color w:val="000000"/>
          <w:sz w:val="25"/>
        </w:rPr>
        <w:t>copies,submission</w:t>
      </w:r>
      <w:proofErr w:type="spellEnd"/>
      <w:r>
        <w:rPr>
          <w:rFonts w:ascii="Calibri" w:eastAsia="Calibri" w:hAnsi="Calibri" w:hint="eastAsia"/>
          <w:i/>
          <w:color w:val="000000"/>
          <w:sz w:val="25"/>
        </w:rPr>
        <w:t xml:space="preserve"> of imperfect copies, un-cooperative attitudes of some government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proofErr w:type="spellStart"/>
      <w:r>
        <w:rPr>
          <w:rFonts w:ascii="Calibri" w:eastAsia="Calibri" w:hAnsi="Calibri" w:hint="eastAsia"/>
          <w:i/>
          <w:color w:val="000000"/>
          <w:sz w:val="25"/>
        </w:rPr>
        <w:t>agencies,publishers</w:t>
      </w:r>
      <w:proofErr w:type="spellEnd"/>
      <w:r>
        <w:rPr>
          <w:rFonts w:ascii="Calibri" w:eastAsia="Calibri" w:hAnsi="Calibri" w:hint="eastAsia"/>
          <w:i/>
          <w:color w:val="000000"/>
          <w:sz w:val="25"/>
        </w:rPr>
        <w:t xml:space="preserve"> and authors to inadequate funding.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after="0" w:line="249" w:lineRule="auto"/>
        <w:ind w:left="60" w:right="1240" w:hanging="20"/>
        <w:jc w:val="both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Keywords</w:t>
      </w:r>
      <w:r>
        <w:rPr>
          <w:rFonts w:ascii="Calibri" w:eastAsia="Calibri" w:hAnsi="Calibri" w:hint="eastAsia"/>
          <w:color w:val="000000"/>
          <w:sz w:val="25"/>
        </w:rPr>
        <w:t xml:space="preserve">: National Library of Nigeria, Legal Deposit, 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Compliance,Publishers</w:t>
      </w:r>
      <w:proofErr w:type="spellEnd"/>
      <w:r>
        <w:rPr>
          <w:rFonts w:ascii="Calibri" w:eastAsia="Calibri" w:hAnsi="Calibri" w:hint="eastAsia"/>
          <w:color w:val="000000"/>
          <w:sz w:val="25"/>
        </w:rPr>
        <w:t>/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Authors,Bibliography</w:t>
      </w:r>
      <w:proofErr w:type="spellEnd"/>
      <w:r>
        <w:rPr>
          <w:rFonts w:ascii="Calibri" w:eastAsia="Calibri" w:hAnsi="Calibri" w:hint="eastAsia"/>
          <w:color w:val="000000"/>
          <w:sz w:val="25"/>
        </w:rPr>
        <w:t>.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before="88" w:after="0" w:line="240" w:lineRule="auto"/>
        <w:ind w:firstLine="40"/>
        <w:jc w:val="both"/>
        <w:rPr>
          <w:sz w:val="28"/>
        </w:rPr>
      </w:pPr>
      <w:r>
        <w:rPr>
          <w:rFonts w:ascii="Calibri" w:eastAsia="Calibri" w:hAnsi="Calibri" w:hint="eastAsia"/>
          <w:b/>
          <w:color w:val="000000"/>
          <w:sz w:val="28"/>
        </w:rPr>
        <w:t>Introduction</w:t>
      </w:r>
    </w:p>
    <w:p w:rsidR="00C34231" w:rsidRDefault="00000000">
      <w:pPr>
        <w:spacing w:after="0" w:line="249" w:lineRule="auto"/>
        <w:ind w:left="40" w:right="124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 xml:space="preserve">National libraries are responsible for acquiring information resources published in their countries of domain and making them available to their citizens and also users outside their 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countries,thereby</w:t>
      </w:r>
      <w:proofErr w:type="spellEnd"/>
      <w:r>
        <w:rPr>
          <w:rFonts w:ascii="Calibri" w:eastAsia="Calibri" w:hAnsi="Calibri" w:hint="eastAsia"/>
          <w:color w:val="000000"/>
          <w:sz w:val="25"/>
        </w:rPr>
        <w:t xml:space="preserve"> enhancing access to information nationally and globally through their legal depository practices. Lor (1997) opined that national libraries have the responsibility of provision of access to publications and 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information,however</w:t>
      </w:r>
      <w:proofErr w:type="spellEnd"/>
      <w:r>
        <w:rPr>
          <w:rFonts w:ascii="Calibri" w:eastAsia="Calibri" w:hAnsi="Calibri" w:hint="eastAsia"/>
          <w:color w:val="000000"/>
          <w:sz w:val="25"/>
        </w:rPr>
        <w:t xml:space="preserve"> distant they may be. According to the author, the IFLA/ UNESCO 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programme</w:t>
      </w:r>
      <w:proofErr w:type="spellEnd"/>
      <w:r>
        <w:rPr>
          <w:rFonts w:ascii="Calibri" w:eastAsia="Calibri" w:hAnsi="Calibri" w:hint="eastAsia"/>
          <w:color w:val="000000"/>
          <w:sz w:val="25"/>
        </w:rPr>
        <w:t xml:space="preserve"> of universal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before="108" w:after="0" w:line="239" w:lineRule="auto"/>
        <w:ind w:firstLine="5700"/>
        <w:jc w:val="right"/>
        <w:rPr>
          <w:sz w:val="18"/>
        </w:rPr>
      </w:pPr>
      <w:r>
        <w:rPr>
          <w:rFonts w:ascii="Calibri" w:eastAsia="Calibri" w:hAnsi="Calibri" w:hint="eastAsia"/>
          <w:color w:val="000000"/>
          <w:sz w:val="18"/>
        </w:rPr>
        <w:t>NIGERBIBLIOS VOL 31 NOS 2,JULY-DEC,2021.</w:t>
      </w: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C34231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C34231" w:rsidRDefault="00000000">
      <w:pPr>
        <w:spacing w:before="192" w:after="0" w:line="240" w:lineRule="auto"/>
        <w:ind w:firstLine="5820"/>
        <w:jc w:val="right"/>
        <w:rPr>
          <w:sz w:val="28"/>
        </w:rPr>
      </w:pPr>
      <w:r>
        <w:rPr>
          <w:rFonts w:ascii="Calibri" w:eastAsia="Calibri" w:hAnsi="Calibri" w:hint="eastAsia"/>
          <w:b/>
          <w:i/>
          <w:color w:val="000000"/>
          <w:sz w:val="28"/>
        </w:rPr>
        <w:t xml:space="preserve">Scanned by </w:t>
      </w:r>
      <w:proofErr w:type="spellStart"/>
      <w:r>
        <w:rPr>
          <w:rFonts w:ascii="Calibri" w:eastAsia="Calibri" w:hAnsi="Calibri" w:hint="eastAsia"/>
          <w:b/>
          <w:i/>
          <w:color w:val="000000"/>
          <w:sz w:val="28"/>
        </w:rPr>
        <w:t>TapScanner</w:t>
      </w:r>
      <w:proofErr w:type="spellEnd"/>
    </w:p>
    <w:sectPr w:rsidR="00C34231">
      <w:headerReference w:type="default" r:id="rId6"/>
      <w:footerReference w:type="default" r:id="rId7"/>
      <w:type w:val="continuous"/>
      <w:pgSz w:w="11900" w:h="16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3C76" w:rsidRDefault="00E23C76">
      <w:pPr>
        <w:spacing w:after="0" w:line="240" w:lineRule="auto"/>
      </w:pPr>
      <w:r>
        <w:separator/>
      </w:r>
    </w:p>
  </w:endnote>
  <w:endnote w:type="continuationSeparator" w:id="0">
    <w:p w:rsidR="00E23C76" w:rsidRDefault="00E2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4231" w:rsidRDefault="00000000">
    <w:pPr>
      <w:spacing w:line="177" w:lineRule="auto"/>
      <w:jc w:val="center"/>
    </w:pPr>
    <w:r>
      <w:rPr>
        <w:rFonts w:ascii="Calibri" w:eastAsia="Calibri" w:hAnsi="Calibri" w:hint="eastAsia"/>
        <w:color w:val="000000"/>
        <w:sz w:val="28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3C76" w:rsidRDefault="00E23C76">
      <w:pPr>
        <w:spacing w:after="0" w:line="240" w:lineRule="auto"/>
      </w:pPr>
      <w:r>
        <w:separator/>
      </w:r>
    </w:p>
  </w:footnote>
  <w:footnote w:type="continuationSeparator" w:id="0">
    <w:p w:rsidR="00E23C76" w:rsidRDefault="00E2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4231" w:rsidRDefault="00C342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1A1D0F"/>
    <w:rsid w:val="0052411D"/>
    <w:rsid w:val="009F0BE0"/>
    <w:rsid w:val="00BA6D97"/>
    <w:rsid w:val="00BD0BC8"/>
    <w:rsid w:val="00C34231"/>
    <w:rsid w:val="00E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Jumai</cp:lastModifiedBy>
  <cp:revision>2</cp:revision>
  <dcterms:created xsi:type="dcterms:W3CDTF">2025-04-15T11:03:00Z</dcterms:created>
  <dcterms:modified xsi:type="dcterms:W3CDTF">2025-04-15T11:03:00Z</dcterms:modified>
</cp:coreProperties>
</file>